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E58838" w14:textId="0E4D91BA" w:rsidR="00487F16" w:rsidRDefault="00763C26" w:rsidP="006D3F30">
      <w:pPr>
        <w:spacing w:before="240"/>
        <w:jc w:val="both"/>
        <w:rPr>
          <w:b/>
          <w:bCs/>
        </w:rPr>
      </w:pPr>
      <w:r>
        <w:rPr>
          <w:b/>
          <w:bCs/>
        </w:rPr>
        <w:t>Purpose</w:t>
      </w:r>
      <w:r w:rsidR="00487F16">
        <w:rPr>
          <w:b/>
          <w:bCs/>
        </w:rPr>
        <w:t xml:space="preserve">: </w:t>
      </w:r>
    </w:p>
    <w:p w14:paraId="700D14FD" w14:textId="5C0F9255" w:rsidR="00DF4934" w:rsidRPr="00F12306" w:rsidRDefault="00763C26" w:rsidP="006D3F30">
      <w:pPr>
        <w:jc w:val="both"/>
        <w:rPr>
          <w:sz w:val="20"/>
          <w:szCs w:val="20"/>
        </w:rPr>
      </w:pPr>
      <w:r w:rsidRPr="00F12306">
        <w:rPr>
          <w:sz w:val="20"/>
          <w:szCs w:val="20"/>
        </w:rPr>
        <w:t xml:space="preserve">To provide </w:t>
      </w:r>
      <w:r w:rsidR="00DF4934" w:rsidRPr="00F12306">
        <w:rPr>
          <w:sz w:val="20"/>
          <w:szCs w:val="20"/>
        </w:rPr>
        <w:t>the Consortium</w:t>
      </w:r>
      <w:r w:rsidR="006D2BE9" w:rsidRPr="00F12306">
        <w:rPr>
          <w:sz w:val="20"/>
          <w:szCs w:val="20"/>
        </w:rPr>
        <w:t xml:space="preserve"> Management Group with information and rationale for </w:t>
      </w:r>
      <w:r w:rsidR="00552BDA" w:rsidRPr="00F12306">
        <w:rPr>
          <w:sz w:val="20"/>
          <w:szCs w:val="20"/>
        </w:rPr>
        <w:t xml:space="preserve">allocating </w:t>
      </w:r>
      <w:r w:rsidR="00DF4934" w:rsidRPr="00F12306">
        <w:rPr>
          <w:sz w:val="20"/>
          <w:szCs w:val="20"/>
        </w:rPr>
        <w:t>fund</w:t>
      </w:r>
      <w:r w:rsidR="006D2BE9" w:rsidRPr="00F12306">
        <w:rPr>
          <w:sz w:val="20"/>
          <w:szCs w:val="20"/>
        </w:rPr>
        <w:t xml:space="preserve">ing </w:t>
      </w:r>
      <w:r w:rsidR="00552BDA" w:rsidRPr="00F12306">
        <w:rPr>
          <w:sz w:val="20"/>
          <w:szCs w:val="20"/>
        </w:rPr>
        <w:t>for facilitation of</w:t>
      </w:r>
      <w:r w:rsidR="000B588D">
        <w:rPr>
          <w:sz w:val="20"/>
          <w:szCs w:val="20"/>
        </w:rPr>
        <w:t xml:space="preserve"> a </w:t>
      </w:r>
      <w:r w:rsidR="00552BDA" w:rsidRPr="00F12306">
        <w:rPr>
          <w:sz w:val="20"/>
          <w:szCs w:val="20"/>
        </w:rPr>
        <w:t>culturally diverse focus group</w:t>
      </w:r>
      <w:r w:rsidR="000B588D">
        <w:rPr>
          <w:sz w:val="20"/>
          <w:szCs w:val="20"/>
        </w:rPr>
        <w:t xml:space="preserve"> </w:t>
      </w:r>
      <w:r w:rsidR="00552BDA" w:rsidRPr="00F12306">
        <w:rPr>
          <w:sz w:val="20"/>
          <w:szCs w:val="20"/>
        </w:rPr>
        <w:t>to inform Consortium member agencies</w:t>
      </w:r>
      <w:r w:rsidR="000B588D">
        <w:rPr>
          <w:sz w:val="20"/>
          <w:szCs w:val="20"/>
        </w:rPr>
        <w:t xml:space="preserve"> on perceptions regarding death and dying of an emerging community and next steps </w:t>
      </w:r>
      <w:r w:rsidR="00552BDA" w:rsidRPr="00F12306">
        <w:rPr>
          <w:sz w:val="20"/>
          <w:szCs w:val="20"/>
        </w:rPr>
        <w:t xml:space="preserve">to </w:t>
      </w:r>
      <w:r w:rsidR="000B588D">
        <w:rPr>
          <w:sz w:val="20"/>
          <w:szCs w:val="20"/>
        </w:rPr>
        <w:t>developing</w:t>
      </w:r>
      <w:r w:rsidR="00552BDA" w:rsidRPr="00F12306">
        <w:rPr>
          <w:sz w:val="20"/>
          <w:szCs w:val="20"/>
        </w:rPr>
        <w:t xml:space="preserve"> culturally appropriate palliative care</w:t>
      </w:r>
      <w:r w:rsidR="000B588D">
        <w:rPr>
          <w:sz w:val="20"/>
          <w:szCs w:val="20"/>
        </w:rPr>
        <w:t xml:space="preserve"> and resources</w:t>
      </w:r>
      <w:r w:rsidR="00552BDA" w:rsidRPr="00F12306">
        <w:rPr>
          <w:sz w:val="20"/>
          <w:szCs w:val="20"/>
        </w:rPr>
        <w:t xml:space="preserve">. </w:t>
      </w:r>
    </w:p>
    <w:p w14:paraId="2297C85B" w14:textId="43D82E9B" w:rsidR="00392252" w:rsidRPr="00CB5914" w:rsidRDefault="00392252" w:rsidP="006D3F30">
      <w:pPr>
        <w:jc w:val="both"/>
        <w:rPr>
          <w:b/>
          <w:bCs/>
        </w:rPr>
      </w:pPr>
      <w:r w:rsidRPr="00CB5914">
        <w:rPr>
          <w:b/>
          <w:bCs/>
        </w:rPr>
        <w:t>Context</w:t>
      </w:r>
      <w:r w:rsidR="001A6B7A">
        <w:rPr>
          <w:b/>
          <w:bCs/>
        </w:rPr>
        <w:t xml:space="preserve"> </w:t>
      </w:r>
    </w:p>
    <w:p w14:paraId="1C6FF502" w14:textId="3C6C8230" w:rsidR="003A7FB0" w:rsidRPr="00F12306" w:rsidRDefault="003A7FB0" w:rsidP="006D3F30">
      <w:pPr>
        <w:jc w:val="both"/>
        <w:rPr>
          <w:sz w:val="20"/>
          <w:szCs w:val="20"/>
        </w:rPr>
      </w:pPr>
      <w:r w:rsidRPr="00F12306">
        <w:rPr>
          <w:sz w:val="20"/>
          <w:szCs w:val="20"/>
        </w:rPr>
        <w:t xml:space="preserve">In January 2021, the Consortium assembled a small </w:t>
      </w:r>
      <w:r w:rsidR="00146293">
        <w:rPr>
          <w:sz w:val="20"/>
          <w:szCs w:val="20"/>
        </w:rPr>
        <w:t>Focus Group</w:t>
      </w:r>
      <w:r w:rsidRPr="00F12306">
        <w:rPr>
          <w:sz w:val="20"/>
          <w:szCs w:val="20"/>
        </w:rPr>
        <w:t xml:space="preserve"> comprising representatives from our three community palliative care services to explore opportunities to strengthen knowledge and practice when providing palliative care to culturally diverse communities.  </w:t>
      </w:r>
      <w:r w:rsidR="00552BDA" w:rsidRPr="00F12306">
        <w:rPr>
          <w:sz w:val="20"/>
          <w:szCs w:val="20"/>
        </w:rPr>
        <w:t xml:space="preserve">This objective </w:t>
      </w:r>
      <w:r w:rsidR="00137018" w:rsidRPr="00F12306">
        <w:rPr>
          <w:sz w:val="20"/>
          <w:szCs w:val="20"/>
        </w:rPr>
        <w:t>is consistent with</w:t>
      </w:r>
      <w:r w:rsidR="006D2BE9" w:rsidRPr="00F12306">
        <w:rPr>
          <w:sz w:val="20"/>
          <w:szCs w:val="20"/>
        </w:rPr>
        <w:t xml:space="preserve"> three of the five </w:t>
      </w:r>
      <w:r w:rsidR="00137018" w:rsidRPr="00F12306">
        <w:rPr>
          <w:sz w:val="20"/>
          <w:szCs w:val="20"/>
        </w:rPr>
        <w:t>priorities of Victoria’s end of life and palliative care framework priorities this project supports:</w:t>
      </w:r>
    </w:p>
    <w:p w14:paraId="203E0FF0" w14:textId="1C98DE9F" w:rsidR="006D2BE9" w:rsidRPr="00F12306" w:rsidRDefault="006D2BE9" w:rsidP="006D3F30">
      <w:pPr>
        <w:pStyle w:val="ListParagraph"/>
        <w:numPr>
          <w:ilvl w:val="0"/>
          <w:numId w:val="1"/>
        </w:numPr>
        <w:jc w:val="both"/>
        <w:rPr>
          <w:sz w:val="20"/>
          <w:szCs w:val="20"/>
        </w:rPr>
      </w:pPr>
      <w:r w:rsidRPr="00F12306">
        <w:rPr>
          <w:sz w:val="20"/>
          <w:szCs w:val="20"/>
        </w:rPr>
        <w:t>delivering person-centred services</w:t>
      </w:r>
    </w:p>
    <w:p w14:paraId="2FA12BE4" w14:textId="62EEA3DB" w:rsidR="006D2BE9" w:rsidRPr="00F12306" w:rsidRDefault="006D2BE9" w:rsidP="006D3F30">
      <w:pPr>
        <w:pStyle w:val="ListParagraph"/>
        <w:numPr>
          <w:ilvl w:val="0"/>
          <w:numId w:val="1"/>
        </w:numPr>
        <w:jc w:val="both"/>
        <w:rPr>
          <w:sz w:val="20"/>
          <w:szCs w:val="20"/>
        </w:rPr>
      </w:pPr>
      <w:r w:rsidRPr="00F12306">
        <w:rPr>
          <w:sz w:val="20"/>
          <w:szCs w:val="20"/>
        </w:rPr>
        <w:t>engaging communities, embracing diversity</w:t>
      </w:r>
    </w:p>
    <w:p w14:paraId="7810EE29" w14:textId="3C8D806C" w:rsidR="006D2BE9" w:rsidRPr="00F12306" w:rsidRDefault="006D2BE9" w:rsidP="006D3F30">
      <w:pPr>
        <w:pStyle w:val="ListParagraph"/>
        <w:numPr>
          <w:ilvl w:val="0"/>
          <w:numId w:val="1"/>
        </w:numPr>
        <w:jc w:val="both"/>
        <w:rPr>
          <w:sz w:val="20"/>
          <w:szCs w:val="20"/>
        </w:rPr>
      </w:pPr>
      <w:r w:rsidRPr="00F12306">
        <w:rPr>
          <w:sz w:val="20"/>
          <w:szCs w:val="20"/>
        </w:rPr>
        <w:t>strengthening specialist palliative care</w:t>
      </w:r>
    </w:p>
    <w:p w14:paraId="570A8145" w14:textId="3EEC60BC" w:rsidR="001A6B7A" w:rsidRDefault="001A6B7A" w:rsidP="006D3F30">
      <w:pPr>
        <w:jc w:val="both"/>
        <w:rPr>
          <w:b/>
          <w:bCs/>
        </w:rPr>
      </w:pPr>
      <w:r>
        <w:rPr>
          <w:b/>
          <w:bCs/>
        </w:rPr>
        <w:t>Work undertaken to date:</w:t>
      </w:r>
      <w:r w:rsidRPr="00CB5914">
        <w:rPr>
          <w:b/>
          <w:bCs/>
        </w:rPr>
        <w:t xml:space="preserve"> </w:t>
      </w:r>
    </w:p>
    <w:p w14:paraId="0627DD40" w14:textId="1E2EEE78" w:rsidR="00552BDA" w:rsidRPr="00F12306" w:rsidRDefault="00552BDA" w:rsidP="006D3F30">
      <w:pPr>
        <w:jc w:val="both"/>
        <w:rPr>
          <w:sz w:val="20"/>
          <w:szCs w:val="20"/>
        </w:rPr>
      </w:pPr>
      <w:r w:rsidRPr="00F12306">
        <w:rPr>
          <w:sz w:val="20"/>
          <w:szCs w:val="20"/>
        </w:rPr>
        <w:t xml:space="preserve">The </w:t>
      </w:r>
      <w:r w:rsidR="00146293">
        <w:rPr>
          <w:sz w:val="20"/>
          <w:szCs w:val="20"/>
        </w:rPr>
        <w:t>Focus Gr</w:t>
      </w:r>
      <w:r w:rsidRPr="00F12306">
        <w:rPr>
          <w:sz w:val="20"/>
          <w:szCs w:val="20"/>
        </w:rPr>
        <w:t>oup w</w:t>
      </w:r>
      <w:r w:rsidR="0024605B" w:rsidRPr="00F12306">
        <w:rPr>
          <w:sz w:val="20"/>
          <w:szCs w:val="20"/>
        </w:rPr>
        <w:t>as</w:t>
      </w:r>
      <w:r w:rsidRPr="00F12306">
        <w:rPr>
          <w:sz w:val="20"/>
          <w:szCs w:val="20"/>
        </w:rPr>
        <w:t xml:space="preserve"> ask</w:t>
      </w:r>
      <w:r w:rsidR="00DC34FF" w:rsidRPr="00F12306">
        <w:rPr>
          <w:sz w:val="20"/>
          <w:szCs w:val="20"/>
        </w:rPr>
        <w:t>ed</w:t>
      </w:r>
      <w:r w:rsidRPr="00F12306">
        <w:rPr>
          <w:sz w:val="20"/>
          <w:szCs w:val="20"/>
        </w:rPr>
        <w:t xml:space="preserve"> to </w:t>
      </w:r>
      <w:r w:rsidR="003A7FB0" w:rsidRPr="00F12306">
        <w:rPr>
          <w:sz w:val="20"/>
          <w:szCs w:val="20"/>
        </w:rPr>
        <w:t>identif</w:t>
      </w:r>
      <w:r w:rsidRPr="00F12306">
        <w:rPr>
          <w:sz w:val="20"/>
          <w:szCs w:val="20"/>
        </w:rPr>
        <w:t xml:space="preserve">y </w:t>
      </w:r>
      <w:r w:rsidR="006D2BE9" w:rsidRPr="00F12306">
        <w:rPr>
          <w:sz w:val="20"/>
          <w:szCs w:val="20"/>
        </w:rPr>
        <w:t xml:space="preserve">cultural </w:t>
      </w:r>
      <w:r w:rsidR="003A7FB0" w:rsidRPr="00F12306">
        <w:rPr>
          <w:sz w:val="20"/>
          <w:szCs w:val="20"/>
        </w:rPr>
        <w:t xml:space="preserve">resources across member agencies </w:t>
      </w:r>
      <w:r w:rsidRPr="00F12306">
        <w:rPr>
          <w:sz w:val="20"/>
          <w:szCs w:val="20"/>
        </w:rPr>
        <w:t>to aid identification of gaps in resources and knowledge</w:t>
      </w:r>
      <w:r w:rsidR="00DC34FF" w:rsidRPr="00F12306">
        <w:rPr>
          <w:sz w:val="20"/>
          <w:szCs w:val="20"/>
        </w:rPr>
        <w:t xml:space="preserve"> regarding the provision of culturally appropriate</w:t>
      </w:r>
      <w:r w:rsidR="0024605B" w:rsidRPr="00F12306">
        <w:rPr>
          <w:sz w:val="20"/>
          <w:szCs w:val="20"/>
        </w:rPr>
        <w:t xml:space="preserve"> palliative </w:t>
      </w:r>
      <w:r w:rsidR="00DC34FF" w:rsidRPr="00F12306">
        <w:rPr>
          <w:sz w:val="20"/>
          <w:szCs w:val="20"/>
        </w:rPr>
        <w:t>care</w:t>
      </w:r>
      <w:r w:rsidRPr="00F12306">
        <w:rPr>
          <w:sz w:val="20"/>
          <w:szCs w:val="20"/>
        </w:rPr>
        <w:t>.  From this information, the Consortium identified key goals</w:t>
      </w:r>
      <w:r w:rsidR="003900B9" w:rsidRPr="00F12306">
        <w:rPr>
          <w:sz w:val="20"/>
          <w:szCs w:val="20"/>
        </w:rPr>
        <w:t xml:space="preserve"> and </w:t>
      </w:r>
      <w:r w:rsidR="0024605B" w:rsidRPr="00F12306">
        <w:rPr>
          <w:sz w:val="20"/>
          <w:szCs w:val="20"/>
        </w:rPr>
        <w:t>undertook a range of activities:</w:t>
      </w:r>
    </w:p>
    <w:p w14:paraId="0AB81E1C" w14:textId="3C83F6D2" w:rsidR="0024605B" w:rsidRPr="00F12306" w:rsidRDefault="0024605B" w:rsidP="006D3F30">
      <w:pPr>
        <w:spacing w:after="0"/>
        <w:jc w:val="both"/>
        <w:rPr>
          <w:b/>
          <w:bCs/>
          <w:i/>
          <w:iCs/>
          <w:sz w:val="20"/>
          <w:szCs w:val="20"/>
        </w:rPr>
      </w:pPr>
      <w:r w:rsidRPr="00F12306">
        <w:rPr>
          <w:b/>
          <w:bCs/>
          <w:i/>
          <w:iCs/>
          <w:sz w:val="20"/>
          <w:szCs w:val="20"/>
        </w:rPr>
        <w:t>Goal 1: C</w:t>
      </w:r>
      <w:r w:rsidR="00552BDA" w:rsidRPr="00F12306">
        <w:rPr>
          <w:b/>
          <w:bCs/>
          <w:i/>
          <w:iCs/>
          <w:sz w:val="20"/>
          <w:szCs w:val="20"/>
        </w:rPr>
        <w:t xml:space="preserve">omprehensively review and refresh the Consortium’s current resources and information on its webpage.   </w:t>
      </w:r>
    </w:p>
    <w:p w14:paraId="5430286C" w14:textId="401220C0" w:rsidR="003900B9" w:rsidRPr="00F12306" w:rsidRDefault="00DC34FF" w:rsidP="006D3F30">
      <w:pPr>
        <w:jc w:val="both"/>
        <w:rPr>
          <w:sz w:val="20"/>
          <w:szCs w:val="20"/>
        </w:rPr>
      </w:pPr>
      <w:r w:rsidRPr="00F12306">
        <w:rPr>
          <w:sz w:val="20"/>
          <w:szCs w:val="20"/>
        </w:rPr>
        <w:t xml:space="preserve">In April 2021, the Consortium undertook a comprehensive review of the </w:t>
      </w:r>
      <w:r w:rsidR="009C499C" w:rsidRPr="00F12306">
        <w:rPr>
          <w:sz w:val="20"/>
          <w:szCs w:val="20"/>
        </w:rPr>
        <w:t xml:space="preserve">‘CALD’ </w:t>
      </w:r>
      <w:r w:rsidRPr="00F12306">
        <w:rPr>
          <w:sz w:val="20"/>
          <w:szCs w:val="20"/>
        </w:rPr>
        <w:t xml:space="preserve">information and resources on our website and </w:t>
      </w:r>
      <w:r w:rsidR="009C499C" w:rsidRPr="00F12306">
        <w:rPr>
          <w:sz w:val="20"/>
          <w:szCs w:val="20"/>
        </w:rPr>
        <w:t>re</w:t>
      </w:r>
      <w:r w:rsidRPr="00F12306">
        <w:rPr>
          <w:sz w:val="20"/>
          <w:szCs w:val="20"/>
        </w:rPr>
        <w:t xml:space="preserve">positioned the information as a quick link on our home page.  Feedback from the </w:t>
      </w:r>
      <w:r w:rsidR="00146293">
        <w:rPr>
          <w:sz w:val="20"/>
          <w:szCs w:val="20"/>
        </w:rPr>
        <w:t>Focus G</w:t>
      </w:r>
      <w:r w:rsidRPr="00F12306">
        <w:rPr>
          <w:sz w:val="20"/>
          <w:szCs w:val="20"/>
        </w:rPr>
        <w:t>roup in response to this improvement is very positive.</w:t>
      </w:r>
      <w:r w:rsidR="003900B9" w:rsidRPr="00F12306">
        <w:rPr>
          <w:sz w:val="20"/>
          <w:szCs w:val="20"/>
        </w:rPr>
        <w:t xml:space="preserve"> The </w:t>
      </w:r>
      <w:r w:rsidRPr="00F12306">
        <w:rPr>
          <w:sz w:val="20"/>
          <w:szCs w:val="20"/>
        </w:rPr>
        <w:t xml:space="preserve">Consortium </w:t>
      </w:r>
      <w:r w:rsidR="003900B9" w:rsidRPr="00F12306">
        <w:rPr>
          <w:sz w:val="20"/>
          <w:szCs w:val="20"/>
        </w:rPr>
        <w:t>has also implemented systems to ensure the information on our website regarding the provision of culturally appropriate palliative remain</w:t>
      </w:r>
      <w:r w:rsidRPr="00F12306">
        <w:rPr>
          <w:sz w:val="20"/>
          <w:szCs w:val="20"/>
        </w:rPr>
        <w:t xml:space="preserve"> accurate, relevant and current</w:t>
      </w:r>
      <w:r w:rsidR="003900B9" w:rsidRPr="00F12306">
        <w:rPr>
          <w:sz w:val="20"/>
          <w:szCs w:val="20"/>
        </w:rPr>
        <w:t>.</w:t>
      </w:r>
    </w:p>
    <w:p w14:paraId="72C40DD9" w14:textId="77777777" w:rsidR="0024605B" w:rsidRPr="00F12306" w:rsidRDefault="0024605B" w:rsidP="006D3F30">
      <w:pPr>
        <w:spacing w:after="0"/>
        <w:jc w:val="both"/>
        <w:rPr>
          <w:b/>
          <w:bCs/>
          <w:i/>
          <w:iCs/>
          <w:sz w:val="20"/>
          <w:szCs w:val="20"/>
        </w:rPr>
      </w:pPr>
      <w:r w:rsidRPr="00F12306">
        <w:rPr>
          <w:b/>
          <w:bCs/>
          <w:i/>
          <w:iCs/>
          <w:sz w:val="20"/>
          <w:szCs w:val="20"/>
        </w:rPr>
        <w:t>Goal 2: I</w:t>
      </w:r>
      <w:r w:rsidR="003900B9" w:rsidRPr="00F12306">
        <w:rPr>
          <w:b/>
          <w:bCs/>
          <w:i/>
          <w:iCs/>
          <w:sz w:val="20"/>
          <w:szCs w:val="20"/>
        </w:rPr>
        <w:t xml:space="preserve">dentify culturally diverse communities in the Consortium’s catchment, in particular emerging communities where information and knowledge around death and dying and palliative care is unknown or limited.  </w:t>
      </w:r>
    </w:p>
    <w:p w14:paraId="11E1996B" w14:textId="6CD604FF" w:rsidR="00CB5914" w:rsidRPr="00F12306" w:rsidRDefault="00146293" w:rsidP="006D3F30">
      <w:pPr>
        <w:jc w:val="both"/>
        <w:rPr>
          <w:sz w:val="20"/>
          <w:szCs w:val="20"/>
        </w:rPr>
      </w:pPr>
      <w:r>
        <w:rPr>
          <w:sz w:val="20"/>
          <w:szCs w:val="20"/>
        </w:rPr>
        <w:t>Focus G</w:t>
      </w:r>
      <w:r w:rsidR="003900B9" w:rsidRPr="00F12306">
        <w:rPr>
          <w:sz w:val="20"/>
          <w:szCs w:val="20"/>
        </w:rPr>
        <w:t>roup</w:t>
      </w:r>
      <w:r w:rsidR="0024605B" w:rsidRPr="00F12306">
        <w:rPr>
          <w:sz w:val="20"/>
          <w:szCs w:val="20"/>
        </w:rPr>
        <w:t xml:space="preserve"> members consulted their colleagues who </w:t>
      </w:r>
      <w:r w:rsidR="003900B9" w:rsidRPr="00F12306">
        <w:rPr>
          <w:sz w:val="20"/>
          <w:szCs w:val="20"/>
        </w:rPr>
        <w:t xml:space="preserve">identified </w:t>
      </w:r>
      <w:r w:rsidR="006D2BE9" w:rsidRPr="00F12306">
        <w:rPr>
          <w:sz w:val="20"/>
          <w:szCs w:val="20"/>
        </w:rPr>
        <w:t xml:space="preserve">people from Somalia, the Middle East and </w:t>
      </w:r>
      <w:r w:rsidR="003900B9" w:rsidRPr="00F12306">
        <w:rPr>
          <w:sz w:val="20"/>
          <w:szCs w:val="20"/>
        </w:rPr>
        <w:t>Africa, Aboriginal</w:t>
      </w:r>
      <w:r w:rsidR="006D2BE9" w:rsidRPr="00F12306">
        <w:rPr>
          <w:sz w:val="20"/>
          <w:szCs w:val="20"/>
        </w:rPr>
        <w:t xml:space="preserve"> and Torres Strait Islander People</w:t>
      </w:r>
      <w:r w:rsidR="003900B9" w:rsidRPr="00F12306">
        <w:rPr>
          <w:sz w:val="20"/>
          <w:szCs w:val="20"/>
        </w:rPr>
        <w:t xml:space="preserve"> and</w:t>
      </w:r>
      <w:r w:rsidR="006D2BE9" w:rsidRPr="00F12306">
        <w:rPr>
          <w:sz w:val="20"/>
          <w:szCs w:val="20"/>
        </w:rPr>
        <w:t xml:space="preserve"> Vietnamese and Chinese</w:t>
      </w:r>
      <w:r w:rsidR="003900B9" w:rsidRPr="00F12306">
        <w:rPr>
          <w:sz w:val="20"/>
          <w:szCs w:val="20"/>
        </w:rPr>
        <w:t xml:space="preserve"> communities</w:t>
      </w:r>
      <w:r w:rsidR="00374395" w:rsidRPr="00F12306">
        <w:rPr>
          <w:sz w:val="20"/>
          <w:szCs w:val="20"/>
        </w:rPr>
        <w:t xml:space="preserve"> to be a priority in relation to emerging communities</w:t>
      </w:r>
      <w:r w:rsidR="0024605B" w:rsidRPr="00F12306">
        <w:rPr>
          <w:sz w:val="20"/>
          <w:szCs w:val="20"/>
        </w:rPr>
        <w:t>.</w:t>
      </w:r>
      <w:r w:rsidR="006D2BE9" w:rsidRPr="00F12306">
        <w:rPr>
          <w:sz w:val="20"/>
          <w:szCs w:val="20"/>
        </w:rPr>
        <w:t xml:space="preserve"> </w:t>
      </w:r>
      <w:r w:rsidR="003A7FB0" w:rsidRPr="00F12306">
        <w:rPr>
          <w:sz w:val="20"/>
          <w:szCs w:val="20"/>
        </w:rPr>
        <w:t xml:space="preserve">  </w:t>
      </w:r>
      <w:r>
        <w:rPr>
          <w:sz w:val="20"/>
          <w:szCs w:val="20"/>
        </w:rPr>
        <w:t xml:space="preserve"> </w:t>
      </w:r>
    </w:p>
    <w:p w14:paraId="4AD14C59" w14:textId="38174407" w:rsidR="0024605B" w:rsidRPr="00F12306" w:rsidRDefault="0024605B" w:rsidP="006D3F30">
      <w:pPr>
        <w:spacing w:after="0"/>
        <w:jc w:val="both"/>
        <w:rPr>
          <w:b/>
          <w:bCs/>
          <w:i/>
          <w:iCs/>
          <w:sz w:val="20"/>
          <w:szCs w:val="20"/>
        </w:rPr>
      </w:pPr>
      <w:r w:rsidRPr="00F12306">
        <w:rPr>
          <w:b/>
          <w:bCs/>
          <w:i/>
          <w:iCs/>
          <w:sz w:val="20"/>
          <w:szCs w:val="20"/>
        </w:rPr>
        <w:t>Goal 3: I</w:t>
      </w:r>
      <w:r w:rsidR="003900B9" w:rsidRPr="00F12306">
        <w:rPr>
          <w:b/>
          <w:bCs/>
          <w:i/>
          <w:iCs/>
          <w:sz w:val="20"/>
          <w:szCs w:val="20"/>
        </w:rPr>
        <w:t>dentify capacity building opportunities</w:t>
      </w:r>
      <w:r w:rsidR="00146293">
        <w:rPr>
          <w:b/>
          <w:bCs/>
          <w:i/>
          <w:iCs/>
          <w:sz w:val="20"/>
          <w:szCs w:val="20"/>
        </w:rPr>
        <w:t xml:space="preserve"> for the workforce</w:t>
      </w:r>
      <w:r w:rsidR="003900B9" w:rsidRPr="00F12306">
        <w:rPr>
          <w:b/>
          <w:bCs/>
          <w:i/>
          <w:iCs/>
          <w:sz w:val="20"/>
          <w:szCs w:val="20"/>
        </w:rPr>
        <w:t xml:space="preserve"> </w:t>
      </w:r>
      <w:r w:rsidRPr="00F12306">
        <w:rPr>
          <w:b/>
          <w:bCs/>
          <w:i/>
          <w:iCs/>
          <w:sz w:val="20"/>
          <w:szCs w:val="20"/>
        </w:rPr>
        <w:t>e.g.</w:t>
      </w:r>
      <w:r w:rsidR="003900B9" w:rsidRPr="00F12306">
        <w:rPr>
          <w:b/>
          <w:bCs/>
          <w:i/>
          <w:iCs/>
          <w:sz w:val="20"/>
          <w:szCs w:val="20"/>
        </w:rPr>
        <w:t xml:space="preserve"> </w:t>
      </w:r>
      <w:r w:rsidR="00146293">
        <w:rPr>
          <w:b/>
          <w:bCs/>
          <w:i/>
          <w:iCs/>
          <w:sz w:val="20"/>
          <w:szCs w:val="20"/>
        </w:rPr>
        <w:t xml:space="preserve">identify </w:t>
      </w:r>
      <w:r w:rsidR="003900B9" w:rsidRPr="00F12306">
        <w:rPr>
          <w:b/>
          <w:bCs/>
          <w:i/>
          <w:iCs/>
          <w:sz w:val="20"/>
          <w:szCs w:val="20"/>
        </w:rPr>
        <w:t>existing education and training on cultural diversity and palliative care and</w:t>
      </w:r>
      <w:r w:rsidR="00146293">
        <w:rPr>
          <w:b/>
          <w:bCs/>
          <w:i/>
          <w:iCs/>
          <w:sz w:val="20"/>
          <w:szCs w:val="20"/>
        </w:rPr>
        <w:t xml:space="preserve"> facilitate </w:t>
      </w:r>
      <w:r w:rsidR="003900B9" w:rsidRPr="00F12306">
        <w:rPr>
          <w:b/>
          <w:bCs/>
          <w:i/>
          <w:iCs/>
          <w:sz w:val="20"/>
          <w:szCs w:val="20"/>
        </w:rPr>
        <w:t>access to same</w:t>
      </w:r>
      <w:r w:rsidRPr="00F12306">
        <w:rPr>
          <w:b/>
          <w:bCs/>
          <w:i/>
          <w:iCs/>
          <w:sz w:val="20"/>
          <w:szCs w:val="20"/>
        </w:rPr>
        <w:t>;</w:t>
      </w:r>
      <w:r w:rsidR="003900B9" w:rsidRPr="00F12306">
        <w:rPr>
          <w:b/>
          <w:bCs/>
          <w:i/>
          <w:iCs/>
          <w:sz w:val="20"/>
          <w:szCs w:val="20"/>
        </w:rPr>
        <w:t xml:space="preserve"> link with culturally diverse community organisations to explore how to identify expectations </w:t>
      </w:r>
      <w:r w:rsidR="00146293">
        <w:rPr>
          <w:b/>
          <w:bCs/>
          <w:i/>
          <w:iCs/>
          <w:sz w:val="20"/>
          <w:szCs w:val="20"/>
        </w:rPr>
        <w:t xml:space="preserve">and needs </w:t>
      </w:r>
      <w:r w:rsidR="003900B9" w:rsidRPr="00F12306">
        <w:rPr>
          <w:b/>
          <w:bCs/>
          <w:i/>
          <w:iCs/>
          <w:sz w:val="20"/>
          <w:szCs w:val="20"/>
        </w:rPr>
        <w:t>of culturally diverse communities regard</w:t>
      </w:r>
      <w:r w:rsidRPr="00F12306">
        <w:rPr>
          <w:b/>
          <w:bCs/>
          <w:i/>
          <w:iCs/>
          <w:sz w:val="20"/>
          <w:szCs w:val="20"/>
        </w:rPr>
        <w:t>ing</w:t>
      </w:r>
      <w:r w:rsidR="003900B9" w:rsidRPr="00F12306">
        <w:rPr>
          <w:b/>
          <w:bCs/>
          <w:i/>
          <w:iCs/>
          <w:sz w:val="20"/>
          <w:szCs w:val="20"/>
        </w:rPr>
        <w:t xml:space="preserve"> death and dying and palliative care.</w:t>
      </w:r>
    </w:p>
    <w:p w14:paraId="5B2BC2D9" w14:textId="1B1EFDAE" w:rsidR="00EA055A" w:rsidRPr="00F12306" w:rsidRDefault="00EA055A" w:rsidP="00374395">
      <w:pPr>
        <w:pStyle w:val="ListParagraph"/>
        <w:numPr>
          <w:ilvl w:val="0"/>
          <w:numId w:val="13"/>
        </w:numPr>
        <w:jc w:val="both"/>
        <w:rPr>
          <w:sz w:val="20"/>
          <w:szCs w:val="20"/>
        </w:rPr>
      </w:pPr>
      <w:r w:rsidRPr="00F12306">
        <w:rPr>
          <w:sz w:val="20"/>
          <w:szCs w:val="20"/>
        </w:rPr>
        <w:t>The Consortium negotiated with PEPA to conduct a workshop on 11 May 2021 for Consortium member agencies on culturally-responsive palliative care for people from culturally and linguistically diverse backgrounds workshop. This was well attended and well received.</w:t>
      </w:r>
      <w:r w:rsidR="00146293">
        <w:rPr>
          <w:sz w:val="20"/>
          <w:szCs w:val="20"/>
        </w:rPr>
        <w:t xml:space="preserve">  Repeat workshops (which are free of charge) can be negotiated with PEPA</w:t>
      </w:r>
    </w:p>
    <w:p w14:paraId="28F380F3" w14:textId="77777777" w:rsidR="00C514B7" w:rsidRDefault="003900B9" w:rsidP="002150F4">
      <w:pPr>
        <w:pStyle w:val="ListParagraph"/>
        <w:numPr>
          <w:ilvl w:val="0"/>
          <w:numId w:val="13"/>
        </w:numPr>
        <w:jc w:val="both"/>
        <w:rPr>
          <w:sz w:val="20"/>
          <w:szCs w:val="20"/>
        </w:rPr>
      </w:pPr>
      <w:r w:rsidRPr="00F12306">
        <w:rPr>
          <w:sz w:val="20"/>
          <w:szCs w:val="20"/>
        </w:rPr>
        <w:t xml:space="preserve">The Consortium </w:t>
      </w:r>
      <w:r w:rsidR="00C514B7">
        <w:rPr>
          <w:sz w:val="20"/>
          <w:szCs w:val="20"/>
        </w:rPr>
        <w:t>sought to identify and meet with community based culturally diverse organisations that could provide education and training in cultural diversity.  Work completed includes:</w:t>
      </w:r>
    </w:p>
    <w:p w14:paraId="0B71A937" w14:textId="153E0CB3" w:rsidR="00166B9F" w:rsidRPr="00C514B7" w:rsidRDefault="00C514B7" w:rsidP="00517A62">
      <w:pPr>
        <w:pStyle w:val="ListParagraph"/>
        <w:numPr>
          <w:ilvl w:val="1"/>
          <w:numId w:val="13"/>
        </w:numPr>
        <w:jc w:val="both"/>
        <w:rPr>
          <w:sz w:val="20"/>
          <w:szCs w:val="20"/>
        </w:rPr>
      </w:pPr>
      <w:r w:rsidRPr="00C514B7">
        <w:rPr>
          <w:sz w:val="20"/>
          <w:szCs w:val="20"/>
        </w:rPr>
        <w:t xml:space="preserve">The Consortium </w:t>
      </w:r>
      <w:r w:rsidR="0024605B" w:rsidRPr="00C514B7">
        <w:rPr>
          <w:sz w:val="20"/>
          <w:szCs w:val="20"/>
        </w:rPr>
        <w:t>met with the Manager of</w:t>
      </w:r>
      <w:r w:rsidR="003900B9" w:rsidRPr="00C514B7">
        <w:rPr>
          <w:sz w:val="20"/>
          <w:szCs w:val="20"/>
        </w:rPr>
        <w:t xml:space="preserve"> the Centre for Culture, Ethnicity &amp; Health</w:t>
      </w:r>
      <w:r w:rsidR="00271CBE" w:rsidRPr="00C514B7">
        <w:rPr>
          <w:sz w:val="20"/>
          <w:szCs w:val="20"/>
        </w:rPr>
        <w:t xml:space="preserve"> </w:t>
      </w:r>
      <w:r w:rsidR="0024605B" w:rsidRPr="00C514B7">
        <w:rPr>
          <w:sz w:val="20"/>
          <w:szCs w:val="20"/>
        </w:rPr>
        <w:t xml:space="preserve">(CEH) </w:t>
      </w:r>
      <w:hyperlink r:id="rId7" w:history="1">
        <w:r w:rsidR="0024605B" w:rsidRPr="00C514B7">
          <w:rPr>
            <w:rStyle w:val="Hyperlink"/>
            <w:sz w:val="20"/>
            <w:szCs w:val="20"/>
          </w:rPr>
          <w:t>https://www.ceh.org.au/</w:t>
        </w:r>
      </w:hyperlink>
      <w:r w:rsidR="0024605B" w:rsidRPr="00C514B7">
        <w:rPr>
          <w:sz w:val="20"/>
          <w:szCs w:val="20"/>
        </w:rPr>
        <w:t xml:space="preserve"> </w:t>
      </w:r>
      <w:r w:rsidRPr="00C514B7">
        <w:rPr>
          <w:sz w:val="20"/>
          <w:szCs w:val="20"/>
        </w:rPr>
        <w:t xml:space="preserve">which </w:t>
      </w:r>
      <w:r w:rsidR="00146293" w:rsidRPr="00C514B7">
        <w:rPr>
          <w:sz w:val="20"/>
          <w:szCs w:val="20"/>
        </w:rPr>
        <w:t>p</w:t>
      </w:r>
      <w:r w:rsidR="00271CBE" w:rsidRPr="00C514B7">
        <w:rPr>
          <w:sz w:val="20"/>
          <w:szCs w:val="20"/>
        </w:rPr>
        <w:t xml:space="preserve">rovides specialist resources and training to improve health and wellbeing in a culturally diverse society. They offer expertise in areas of diversity, health, community education and resource development and training in Cultural Competence, Health Literacy, Language Services. </w:t>
      </w:r>
      <w:r w:rsidR="0024605B" w:rsidRPr="00C514B7">
        <w:rPr>
          <w:sz w:val="20"/>
          <w:szCs w:val="20"/>
        </w:rPr>
        <w:t xml:space="preserve"> </w:t>
      </w:r>
      <w:r w:rsidR="00374395" w:rsidRPr="00C514B7">
        <w:rPr>
          <w:sz w:val="20"/>
          <w:szCs w:val="20"/>
        </w:rPr>
        <w:t xml:space="preserve"> </w:t>
      </w:r>
      <w:r w:rsidR="0024605B" w:rsidRPr="00C514B7">
        <w:rPr>
          <w:sz w:val="20"/>
          <w:szCs w:val="20"/>
        </w:rPr>
        <w:t>CEH advised</w:t>
      </w:r>
      <w:r w:rsidR="00166B9F" w:rsidRPr="00C514B7">
        <w:rPr>
          <w:sz w:val="20"/>
          <w:szCs w:val="20"/>
        </w:rPr>
        <w:t xml:space="preserve"> the first step is to understand how communities think about death and dying before moving to exploration of and demystifying palliative care with diverse communities.  They </w:t>
      </w:r>
      <w:r>
        <w:rPr>
          <w:sz w:val="20"/>
          <w:szCs w:val="20"/>
        </w:rPr>
        <w:t>suggested</w:t>
      </w:r>
      <w:r w:rsidR="00166B9F" w:rsidRPr="00C514B7">
        <w:rPr>
          <w:sz w:val="20"/>
          <w:szCs w:val="20"/>
        </w:rPr>
        <w:t xml:space="preserve"> the key elements of the approach</w:t>
      </w:r>
      <w:r>
        <w:rPr>
          <w:sz w:val="20"/>
          <w:szCs w:val="20"/>
        </w:rPr>
        <w:t xml:space="preserve"> should </w:t>
      </w:r>
      <w:r w:rsidR="00166B9F" w:rsidRPr="00C514B7">
        <w:rPr>
          <w:sz w:val="20"/>
          <w:szCs w:val="20"/>
        </w:rPr>
        <w:t>include:</w:t>
      </w:r>
    </w:p>
    <w:p w14:paraId="15DCFFA2" w14:textId="0E351A1B" w:rsidR="00166B9F" w:rsidRPr="00F12306" w:rsidRDefault="00166B9F" w:rsidP="00374395">
      <w:pPr>
        <w:pStyle w:val="ListParagraph"/>
        <w:numPr>
          <w:ilvl w:val="0"/>
          <w:numId w:val="14"/>
        </w:numPr>
        <w:spacing w:after="0" w:line="240" w:lineRule="auto"/>
        <w:contextualSpacing w:val="0"/>
        <w:jc w:val="both"/>
        <w:rPr>
          <w:rFonts w:eastAsia="Times New Roman"/>
          <w:sz w:val="20"/>
          <w:szCs w:val="20"/>
        </w:rPr>
      </w:pPr>
      <w:r w:rsidRPr="00F12306">
        <w:rPr>
          <w:rFonts w:eastAsia="Times New Roman"/>
          <w:sz w:val="20"/>
          <w:szCs w:val="20"/>
        </w:rPr>
        <w:lastRenderedPageBreak/>
        <w:t>The Consortium identify the language groups/communities we wish to know more about</w:t>
      </w:r>
      <w:r w:rsidR="00EA055A" w:rsidRPr="00F12306">
        <w:rPr>
          <w:rFonts w:eastAsia="Times New Roman"/>
          <w:sz w:val="20"/>
          <w:szCs w:val="20"/>
        </w:rPr>
        <w:t>.</w:t>
      </w:r>
      <w:r w:rsidRPr="00F12306">
        <w:rPr>
          <w:rFonts w:eastAsia="Times New Roman"/>
          <w:sz w:val="20"/>
          <w:szCs w:val="20"/>
        </w:rPr>
        <w:t xml:space="preserve"> </w:t>
      </w:r>
    </w:p>
    <w:p w14:paraId="40A612E4" w14:textId="410E0CF7" w:rsidR="006D3F30" w:rsidRPr="00F12306" w:rsidRDefault="00166B9F" w:rsidP="00374395">
      <w:pPr>
        <w:pStyle w:val="ListParagraph"/>
        <w:numPr>
          <w:ilvl w:val="0"/>
          <w:numId w:val="14"/>
        </w:numPr>
        <w:spacing w:after="0" w:line="240" w:lineRule="auto"/>
        <w:contextualSpacing w:val="0"/>
        <w:jc w:val="both"/>
        <w:rPr>
          <w:rFonts w:eastAsia="Times New Roman"/>
          <w:sz w:val="20"/>
          <w:szCs w:val="20"/>
        </w:rPr>
      </w:pPr>
      <w:r w:rsidRPr="00F12306">
        <w:rPr>
          <w:rFonts w:eastAsia="Times New Roman"/>
          <w:sz w:val="20"/>
          <w:szCs w:val="20"/>
        </w:rPr>
        <w:t>CEH would conduct some focus groups contacting relevant community associations and negotiating recruitment of participant</w:t>
      </w:r>
      <w:r w:rsidR="006D3F30" w:rsidRPr="00F12306">
        <w:rPr>
          <w:rFonts w:eastAsia="Times New Roman"/>
          <w:sz w:val="20"/>
          <w:szCs w:val="20"/>
        </w:rPr>
        <w:t>s</w:t>
      </w:r>
      <w:r w:rsidRPr="00F12306">
        <w:rPr>
          <w:rFonts w:eastAsia="Times New Roman"/>
          <w:sz w:val="20"/>
          <w:szCs w:val="20"/>
        </w:rPr>
        <w:t xml:space="preserve"> (no more than eight people (gender mix to be determined by community norms).  CEH together with representatives from the Consortium develop focus group questions that will elicit the information we require. </w:t>
      </w:r>
      <w:r w:rsidR="006D3F30" w:rsidRPr="00F12306">
        <w:rPr>
          <w:rFonts w:eastAsia="Times New Roman"/>
          <w:sz w:val="20"/>
          <w:szCs w:val="20"/>
        </w:rPr>
        <w:t>Participants are paid (usually by voucher)  </w:t>
      </w:r>
    </w:p>
    <w:p w14:paraId="3BE2978D" w14:textId="77777777" w:rsidR="00166B9F" w:rsidRPr="00F12306" w:rsidRDefault="00166B9F" w:rsidP="00374395">
      <w:pPr>
        <w:pStyle w:val="ListParagraph"/>
        <w:numPr>
          <w:ilvl w:val="0"/>
          <w:numId w:val="14"/>
        </w:numPr>
        <w:spacing w:after="0" w:line="240" w:lineRule="auto"/>
        <w:contextualSpacing w:val="0"/>
        <w:jc w:val="both"/>
        <w:rPr>
          <w:rFonts w:eastAsia="Times New Roman"/>
          <w:sz w:val="20"/>
          <w:szCs w:val="20"/>
        </w:rPr>
      </w:pPr>
      <w:r w:rsidRPr="00F12306">
        <w:rPr>
          <w:rFonts w:eastAsia="Times New Roman"/>
          <w:sz w:val="20"/>
          <w:szCs w:val="20"/>
        </w:rPr>
        <w:t xml:space="preserve">Focus group questions will be developed with the literacy of the community in mind and whether an interpreter is required for the focus groups. </w:t>
      </w:r>
    </w:p>
    <w:p w14:paraId="70ADA5AC" w14:textId="77777777" w:rsidR="001A6B7A" w:rsidRPr="00F12306" w:rsidRDefault="001A6B7A" w:rsidP="00374395">
      <w:pPr>
        <w:pStyle w:val="ListParagraph"/>
        <w:numPr>
          <w:ilvl w:val="0"/>
          <w:numId w:val="14"/>
        </w:numPr>
        <w:spacing w:after="0" w:line="240" w:lineRule="auto"/>
        <w:contextualSpacing w:val="0"/>
        <w:jc w:val="both"/>
        <w:rPr>
          <w:rFonts w:eastAsia="Times New Roman"/>
          <w:sz w:val="20"/>
          <w:szCs w:val="20"/>
        </w:rPr>
      </w:pPr>
      <w:r w:rsidRPr="00F12306">
        <w:rPr>
          <w:rFonts w:eastAsia="Times New Roman"/>
          <w:sz w:val="20"/>
          <w:szCs w:val="20"/>
        </w:rPr>
        <w:t>R</w:t>
      </w:r>
      <w:r w:rsidR="006D3F30" w:rsidRPr="00F12306">
        <w:rPr>
          <w:rFonts w:eastAsia="Times New Roman"/>
          <w:sz w:val="20"/>
          <w:szCs w:val="20"/>
        </w:rPr>
        <w:t>epresentatives</w:t>
      </w:r>
      <w:r w:rsidRPr="00F12306">
        <w:rPr>
          <w:rFonts w:eastAsia="Times New Roman"/>
          <w:sz w:val="20"/>
          <w:szCs w:val="20"/>
        </w:rPr>
        <w:t xml:space="preserve"> from the Consortium may</w:t>
      </w:r>
      <w:r w:rsidR="00166B9F" w:rsidRPr="00F12306">
        <w:rPr>
          <w:rFonts w:eastAsia="Times New Roman"/>
          <w:sz w:val="20"/>
          <w:szCs w:val="20"/>
        </w:rPr>
        <w:t xml:space="preserve"> </w:t>
      </w:r>
      <w:r w:rsidR="006D3F30" w:rsidRPr="00F12306">
        <w:rPr>
          <w:rFonts w:eastAsia="Times New Roman"/>
          <w:sz w:val="20"/>
          <w:szCs w:val="20"/>
        </w:rPr>
        <w:t>attend</w:t>
      </w:r>
      <w:r w:rsidRPr="00F12306">
        <w:rPr>
          <w:rFonts w:eastAsia="Times New Roman"/>
          <w:sz w:val="20"/>
          <w:szCs w:val="20"/>
        </w:rPr>
        <w:t xml:space="preserve"> focus group as observers.</w:t>
      </w:r>
    </w:p>
    <w:p w14:paraId="500BAA2D" w14:textId="7C1841F2" w:rsidR="006D3F30" w:rsidRPr="00F12306" w:rsidRDefault="006D3F30" w:rsidP="00374395">
      <w:pPr>
        <w:pStyle w:val="ListParagraph"/>
        <w:numPr>
          <w:ilvl w:val="0"/>
          <w:numId w:val="14"/>
        </w:numPr>
        <w:spacing w:after="0" w:line="240" w:lineRule="auto"/>
        <w:contextualSpacing w:val="0"/>
        <w:jc w:val="both"/>
        <w:rPr>
          <w:rFonts w:eastAsia="Times New Roman"/>
          <w:sz w:val="20"/>
          <w:szCs w:val="20"/>
        </w:rPr>
      </w:pPr>
      <w:r w:rsidRPr="00F12306">
        <w:rPr>
          <w:rFonts w:eastAsia="Times New Roman"/>
          <w:sz w:val="20"/>
          <w:szCs w:val="20"/>
        </w:rPr>
        <w:t>CEH provides a written report of key information and themes</w:t>
      </w:r>
      <w:r w:rsidR="001A6B7A" w:rsidRPr="00F12306">
        <w:rPr>
          <w:rFonts w:eastAsia="Times New Roman"/>
          <w:sz w:val="20"/>
          <w:szCs w:val="20"/>
        </w:rPr>
        <w:t xml:space="preserve"> arising from focus groups</w:t>
      </w:r>
      <w:r w:rsidRPr="00F12306">
        <w:rPr>
          <w:rFonts w:eastAsia="Times New Roman"/>
          <w:sz w:val="20"/>
          <w:szCs w:val="20"/>
        </w:rPr>
        <w:t xml:space="preserve">.  </w:t>
      </w:r>
    </w:p>
    <w:p w14:paraId="4C5A96C7" w14:textId="1E5CBAF2" w:rsidR="00166B9F" w:rsidRPr="00F12306" w:rsidRDefault="00166B9F" w:rsidP="00374395">
      <w:pPr>
        <w:pStyle w:val="ListParagraph"/>
        <w:numPr>
          <w:ilvl w:val="0"/>
          <w:numId w:val="14"/>
        </w:numPr>
        <w:spacing w:after="0" w:line="240" w:lineRule="auto"/>
        <w:contextualSpacing w:val="0"/>
        <w:jc w:val="both"/>
        <w:rPr>
          <w:rFonts w:eastAsia="Times New Roman"/>
          <w:sz w:val="20"/>
          <w:szCs w:val="20"/>
        </w:rPr>
      </w:pPr>
      <w:r w:rsidRPr="00F12306">
        <w:rPr>
          <w:rFonts w:eastAsia="Times New Roman"/>
          <w:sz w:val="20"/>
          <w:szCs w:val="20"/>
        </w:rPr>
        <w:t>Community Association</w:t>
      </w:r>
      <w:r w:rsidR="001A6B7A" w:rsidRPr="00F12306">
        <w:rPr>
          <w:rFonts w:eastAsia="Times New Roman"/>
          <w:sz w:val="20"/>
          <w:szCs w:val="20"/>
        </w:rPr>
        <w:t xml:space="preserve">s involved in the recruitment of participants are </w:t>
      </w:r>
      <w:r w:rsidR="006D3F30" w:rsidRPr="00F12306">
        <w:rPr>
          <w:rFonts w:eastAsia="Times New Roman"/>
          <w:sz w:val="20"/>
          <w:szCs w:val="20"/>
        </w:rPr>
        <w:t>reimbursed which is included in the cost of the work undertaken by CEH.</w:t>
      </w:r>
    </w:p>
    <w:p w14:paraId="5BB4C378" w14:textId="028687CD" w:rsidR="00EA055A" w:rsidRPr="00F12306" w:rsidRDefault="00EA055A" w:rsidP="00374395">
      <w:pPr>
        <w:pStyle w:val="ListParagraph"/>
        <w:numPr>
          <w:ilvl w:val="0"/>
          <w:numId w:val="14"/>
        </w:numPr>
        <w:spacing w:after="0" w:line="240" w:lineRule="auto"/>
        <w:contextualSpacing w:val="0"/>
        <w:jc w:val="both"/>
        <w:rPr>
          <w:rFonts w:eastAsia="Times New Roman"/>
          <w:sz w:val="20"/>
          <w:szCs w:val="20"/>
        </w:rPr>
      </w:pPr>
      <w:r w:rsidRPr="00F12306">
        <w:rPr>
          <w:rFonts w:eastAsia="Times New Roman"/>
          <w:sz w:val="20"/>
          <w:szCs w:val="20"/>
        </w:rPr>
        <w:t xml:space="preserve">The Consortium may wish to offer </w:t>
      </w:r>
      <w:r w:rsidR="001A6B7A" w:rsidRPr="00F12306">
        <w:rPr>
          <w:rFonts w:eastAsia="Times New Roman"/>
          <w:sz w:val="20"/>
          <w:szCs w:val="20"/>
        </w:rPr>
        <w:t xml:space="preserve">focus group </w:t>
      </w:r>
      <w:r w:rsidRPr="00F12306">
        <w:rPr>
          <w:rFonts w:eastAsia="Times New Roman"/>
          <w:sz w:val="20"/>
          <w:szCs w:val="20"/>
        </w:rPr>
        <w:t>participants the opportunity to be involved in development of resources</w:t>
      </w:r>
      <w:r w:rsidR="001A6B7A" w:rsidRPr="00F12306">
        <w:rPr>
          <w:rFonts w:eastAsia="Times New Roman"/>
          <w:sz w:val="20"/>
          <w:szCs w:val="20"/>
        </w:rPr>
        <w:t xml:space="preserve"> and tools. </w:t>
      </w:r>
    </w:p>
    <w:p w14:paraId="716FC74A" w14:textId="41A24FA8" w:rsidR="00374395" w:rsidRPr="00F12306" w:rsidRDefault="00C514B7" w:rsidP="00C514B7">
      <w:pPr>
        <w:pStyle w:val="ListParagraph"/>
        <w:numPr>
          <w:ilvl w:val="1"/>
          <w:numId w:val="13"/>
        </w:numPr>
        <w:jc w:val="both"/>
        <w:rPr>
          <w:sz w:val="20"/>
          <w:szCs w:val="20"/>
        </w:rPr>
      </w:pPr>
      <w:r>
        <w:rPr>
          <w:sz w:val="20"/>
          <w:szCs w:val="20"/>
        </w:rPr>
        <w:t>Feedback from the Focus G</w:t>
      </w:r>
      <w:r w:rsidR="001A6B7A" w:rsidRPr="00F12306">
        <w:rPr>
          <w:sz w:val="20"/>
          <w:szCs w:val="20"/>
        </w:rPr>
        <w:t xml:space="preserve">roup </w:t>
      </w:r>
      <w:r>
        <w:rPr>
          <w:sz w:val="20"/>
          <w:szCs w:val="20"/>
        </w:rPr>
        <w:t xml:space="preserve">on the CEH approach was </w:t>
      </w:r>
      <w:r w:rsidR="00DF5281" w:rsidRPr="00F12306">
        <w:rPr>
          <w:sz w:val="20"/>
          <w:szCs w:val="20"/>
        </w:rPr>
        <w:t>positive</w:t>
      </w:r>
      <w:r>
        <w:rPr>
          <w:sz w:val="20"/>
          <w:szCs w:val="20"/>
        </w:rPr>
        <w:t xml:space="preserve"> suggesting </w:t>
      </w:r>
      <w:r w:rsidR="001A6B7A" w:rsidRPr="00F12306">
        <w:rPr>
          <w:sz w:val="20"/>
          <w:szCs w:val="20"/>
        </w:rPr>
        <w:t xml:space="preserve">this </w:t>
      </w:r>
      <w:r w:rsidR="00374395" w:rsidRPr="00F12306">
        <w:rPr>
          <w:sz w:val="20"/>
          <w:szCs w:val="20"/>
        </w:rPr>
        <w:t>would be an appropriate method for deepening and strengthening the perceptions of emerging communities around death and dying and implementing a culturally</w:t>
      </w:r>
      <w:r>
        <w:rPr>
          <w:sz w:val="20"/>
          <w:szCs w:val="20"/>
        </w:rPr>
        <w:t xml:space="preserve"> </w:t>
      </w:r>
      <w:r w:rsidR="00374395" w:rsidRPr="00F12306">
        <w:rPr>
          <w:sz w:val="20"/>
          <w:szCs w:val="20"/>
        </w:rPr>
        <w:t>appropriate palliative approach to care.</w:t>
      </w:r>
    </w:p>
    <w:p w14:paraId="02D2BA46" w14:textId="1DE3A43F" w:rsidR="00374395" w:rsidRPr="00F12306" w:rsidRDefault="00374395" w:rsidP="00C514B7">
      <w:pPr>
        <w:pStyle w:val="ListParagraph"/>
        <w:numPr>
          <w:ilvl w:val="1"/>
          <w:numId w:val="13"/>
        </w:numPr>
        <w:jc w:val="both"/>
        <w:rPr>
          <w:sz w:val="20"/>
          <w:szCs w:val="20"/>
        </w:rPr>
      </w:pPr>
      <w:r w:rsidRPr="00F12306">
        <w:rPr>
          <w:sz w:val="20"/>
          <w:szCs w:val="20"/>
        </w:rPr>
        <w:t>CEH were invited to provide a quote for this scope of work.</w:t>
      </w:r>
      <w:r w:rsidR="00F12306" w:rsidRPr="00F12306">
        <w:rPr>
          <w:sz w:val="20"/>
          <w:szCs w:val="20"/>
        </w:rPr>
        <w:t xml:space="preserve">  </w:t>
      </w:r>
    </w:p>
    <w:p w14:paraId="1AC5B1DC" w14:textId="692957F2" w:rsidR="00223524" w:rsidRDefault="00223524" w:rsidP="007E1782">
      <w:pPr>
        <w:jc w:val="both"/>
        <w:rPr>
          <w:b/>
          <w:bCs/>
        </w:rPr>
      </w:pPr>
      <w:r>
        <w:rPr>
          <w:b/>
          <w:bCs/>
        </w:rPr>
        <w:t xml:space="preserve">CEH </w:t>
      </w:r>
      <w:r w:rsidR="00986F02">
        <w:rPr>
          <w:b/>
          <w:bCs/>
        </w:rPr>
        <w:t>q</w:t>
      </w:r>
      <w:r>
        <w:rPr>
          <w:b/>
          <w:bCs/>
        </w:rPr>
        <w:t>uote</w:t>
      </w:r>
      <w:r w:rsidR="00986F02">
        <w:rPr>
          <w:b/>
          <w:bCs/>
        </w:rPr>
        <w:t xml:space="preserve"> for work</w:t>
      </w:r>
    </w:p>
    <w:p w14:paraId="25F998BC" w14:textId="14679FF6" w:rsidR="00986F02" w:rsidRPr="00986F02" w:rsidRDefault="00986F02" w:rsidP="00986F02">
      <w:pPr>
        <w:spacing w:after="0"/>
        <w:rPr>
          <w:sz w:val="20"/>
          <w:szCs w:val="20"/>
        </w:rPr>
      </w:pPr>
      <w:r w:rsidRPr="00986F02">
        <w:rPr>
          <w:sz w:val="20"/>
          <w:szCs w:val="20"/>
        </w:rPr>
        <w:t>CEH provided a quote for the scope of work</w:t>
      </w:r>
      <w:r>
        <w:rPr>
          <w:sz w:val="20"/>
          <w:szCs w:val="20"/>
        </w:rPr>
        <w:t xml:space="preserve"> (attached below)</w:t>
      </w:r>
      <w:r w:rsidRPr="00986F02">
        <w:rPr>
          <w:sz w:val="20"/>
          <w:szCs w:val="20"/>
        </w:rPr>
        <w:t>.</w:t>
      </w:r>
      <w:r>
        <w:rPr>
          <w:sz w:val="20"/>
          <w:szCs w:val="20"/>
        </w:rPr>
        <w:t xml:space="preserve">  </w:t>
      </w:r>
      <w:r w:rsidRPr="00986F02">
        <w:rPr>
          <w:sz w:val="20"/>
          <w:szCs w:val="20"/>
        </w:rPr>
        <w:t>They have advised that:</w:t>
      </w:r>
    </w:p>
    <w:p w14:paraId="0411C297" w14:textId="05DA624B" w:rsidR="00986F02" w:rsidRPr="00986F02" w:rsidRDefault="00986F02" w:rsidP="00986F02">
      <w:pPr>
        <w:pStyle w:val="ListParagraph"/>
        <w:numPr>
          <w:ilvl w:val="0"/>
          <w:numId w:val="13"/>
        </w:numPr>
        <w:jc w:val="both"/>
        <w:rPr>
          <w:sz w:val="20"/>
          <w:szCs w:val="20"/>
        </w:rPr>
      </w:pPr>
      <w:r w:rsidRPr="00986F02">
        <w:rPr>
          <w:sz w:val="20"/>
          <w:szCs w:val="20"/>
        </w:rPr>
        <w:t xml:space="preserve">The proposal shows the cost and process for one focus group with one selected language groups.  </w:t>
      </w:r>
    </w:p>
    <w:p w14:paraId="3862CD6F" w14:textId="77777777" w:rsidR="00986F02" w:rsidRPr="00986F02" w:rsidRDefault="00986F02" w:rsidP="00986F02">
      <w:pPr>
        <w:pStyle w:val="ListParagraph"/>
        <w:numPr>
          <w:ilvl w:val="0"/>
          <w:numId w:val="13"/>
        </w:numPr>
        <w:jc w:val="both"/>
        <w:rPr>
          <w:sz w:val="20"/>
          <w:szCs w:val="20"/>
        </w:rPr>
      </w:pPr>
      <w:r w:rsidRPr="00986F02">
        <w:rPr>
          <w:sz w:val="20"/>
          <w:szCs w:val="20"/>
        </w:rPr>
        <w:t>Some of the costs will be reduced if you choose to engage us to do multiple focus groups.</w:t>
      </w:r>
    </w:p>
    <w:p w14:paraId="23FD931B" w14:textId="77777777" w:rsidR="00986F02" w:rsidRPr="00986F02" w:rsidRDefault="00986F02" w:rsidP="00986F02">
      <w:pPr>
        <w:pStyle w:val="ListParagraph"/>
        <w:numPr>
          <w:ilvl w:val="0"/>
          <w:numId w:val="13"/>
        </w:numPr>
        <w:jc w:val="both"/>
        <w:rPr>
          <w:sz w:val="20"/>
          <w:szCs w:val="20"/>
        </w:rPr>
      </w:pPr>
      <w:r w:rsidRPr="00986F02">
        <w:rPr>
          <w:sz w:val="20"/>
          <w:szCs w:val="20"/>
        </w:rPr>
        <w:t>Not all listed costs may be incurred depending on the English proficiency of the participants.</w:t>
      </w:r>
    </w:p>
    <w:p w14:paraId="2A7ABEB0" w14:textId="62478AD1" w:rsidR="00986F02" w:rsidRPr="00986F02" w:rsidRDefault="00986F02" w:rsidP="00986F02">
      <w:pPr>
        <w:pStyle w:val="ListParagraph"/>
        <w:numPr>
          <w:ilvl w:val="0"/>
          <w:numId w:val="13"/>
        </w:numPr>
        <w:jc w:val="both"/>
        <w:rPr>
          <w:sz w:val="20"/>
          <w:szCs w:val="20"/>
        </w:rPr>
      </w:pPr>
      <w:r>
        <w:rPr>
          <w:sz w:val="20"/>
          <w:szCs w:val="20"/>
        </w:rPr>
        <w:t xml:space="preserve">The presence of an </w:t>
      </w:r>
      <w:r w:rsidRPr="00986F02">
        <w:rPr>
          <w:sz w:val="20"/>
          <w:szCs w:val="20"/>
        </w:rPr>
        <w:t xml:space="preserve">palliative care </w:t>
      </w:r>
      <w:r>
        <w:rPr>
          <w:sz w:val="20"/>
          <w:szCs w:val="20"/>
        </w:rPr>
        <w:t>clinician at the focus group would be encouraged i</w:t>
      </w:r>
      <w:r w:rsidRPr="00986F02">
        <w:rPr>
          <w:sz w:val="20"/>
          <w:szCs w:val="20"/>
        </w:rPr>
        <w:t>n case the discussion raises issues for participants.  </w:t>
      </w:r>
    </w:p>
    <w:p w14:paraId="43ECB158" w14:textId="77777777" w:rsidR="00986F02" w:rsidRDefault="00986F02" w:rsidP="00986F02">
      <w:pPr>
        <w:pStyle w:val="ListParagraph"/>
        <w:numPr>
          <w:ilvl w:val="0"/>
          <w:numId w:val="13"/>
        </w:numPr>
        <w:jc w:val="both"/>
        <w:rPr>
          <w:sz w:val="20"/>
          <w:szCs w:val="20"/>
        </w:rPr>
      </w:pPr>
      <w:r>
        <w:rPr>
          <w:sz w:val="20"/>
          <w:szCs w:val="20"/>
        </w:rPr>
        <w:t>R</w:t>
      </w:r>
      <w:r w:rsidRPr="00986F02">
        <w:rPr>
          <w:sz w:val="20"/>
          <w:szCs w:val="20"/>
        </w:rPr>
        <w:t xml:space="preserve">ecruitment can be the slowest and most difficult of all the tasks and lockdown has not made that any easier.  Focus groups work better if people are all in the same room, </w:t>
      </w:r>
      <w:r>
        <w:rPr>
          <w:sz w:val="20"/>
          <w:szCs w:val="20"/>
        </w:rPr>
        <w:t>requiring a COVID safe approach.</w:t>
      </w:r>
    </w:p>
    <w:bookmarkStart w:id="0" w:name="_MON_1685763578"/>
    <w:bookmarkEnd w:id="0"/>
    <w:p w14:paraId="3984534E" w14:textId="77777777" w:rsidR="00986F02" w:rsidRDefault="00986F02" w:rsidP="00986F02">
      <w:pPr>
        <w:spacing w:after="0"/>
      </w:pPr>
      <w:r w:rsidRPr="00986F02">
        <w:object w:dxaOrig="1504" w:dyaOrig="982" w14:anchorId="09CBB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8" o:title=""/>
          </v:shape>
          <o:OLEObject Type="Embed" ProgID="Word.Document.12" ShapeID="_x0000_i1025" DrawAspect="Icon" ObjectID="_1685764551" r:id="rId9">
            <o:FieldCodes>\s</o:FieldCodes>
          </o:OLEObject>
        </w:object>
      </w:r>
    </w:p>
    <w:p w14:paraId="4F161302" w14:textId="141CA2E5" w:rsidR="007E1782" w:rsidRDefault="007E1782" w:rsidP="007E1782">
      <w:pPr>
        <w:jc w:val="both"/>
        <w:rPr>
          <w:b/>
          <w:bCs/>
        </w:rPr>
      </w:pPr>
      <w:r>
        <w:rPr>
          <w:b/>
          <w:bCs/>
        </w:rPr>
        <w:t>Proposal:</w:t>
      </w:r>
    </w:p>
    <w:p w14:paraId="72F4F056" w14:textId="5FCCCB6B" w:rsidR="007E1782" w:rsidRDefault="00A34A54" w:rsidP="007E1782">
      <w:pPr>
        <w:pStyle w:val="ListParagraph"/>
        <w:numPr>
          <w:ilvl w:val="0"/>
          <w:numId w:val="13"/>
        </w:numPr>
        <w:jc w:val="both"/>
        <w:rPr>
          <w:sz w:val="20"/>
          <w:szCs w:val="20"/>
        </w:rPr>
      </w:pPr>
      <w:r>
        <w:rPr>
          <w:sz w:val="20"/>
          <w:szCs w:val="20"/>
        </w:rPr>
        <w:t>The Consortium c</w:t>
      </w:r>
      <w:r w:rsidR="007E1782" w:rsidRPr="00F12306">
        <w:rPr>
          <w:sz w:val="20"/>
          <w:szCs w:val="20"/>
        </w:rPr>
        <w:t xml:space="preserve">onsider the CEH proposal regarding funding work on identifying cultural perceptions around death and dying and palliative care needs </w:t>
      </w:r>
      <w:r w:rsidR="00986F02">
        <w:rPr>
          <w:sz w:val="20"/>
          <w:szCs w:val="20"/>
        </w:rPr>
        <w:t>of</w:t>
      </w:r>
      <w:r w:rsidR="007E1782" w:rsidRPr="00F12306">
        <w:rPr>
          <w:sz w:val="20"/>
          <w:szCs w:val="20"/>
        </w:rPr>
        <w:t xml:space="preserve"> one emerging community</w:t>
      </w:r>
      <w:r w:rsidR="007E1782">
        <w:rPr>
          <w:sz w:val="20"/>
          <w:szCs w:val="20"/>
        </w:rPr>
        <w:t>.</w:t>
      </w:r>
      <w:r w:rsidR="007E1782" w:rsidRPr="00F12306">
        <w:rPr>
          <w:sz w:val="20"/>
          <w:szCs w:val="20"/>
        </w:rPr>
        <w:t xml:space="preserve"> </w:t>
      </w:r>
    </w:p>
    <w:p w14:paraId="76B67029" w14:textId="26BE1264" w:rsidR="00A34A54" w:rsidRPr="00F12306" w:rsidRDefault="00A34A54" w:rsidP="007E1782">
      <w:pPr>
        <w:pStyle w:val="ListParagraph"/>
        <w:numPr>
          <w:ilvl w:val="0"/>
          <w:numId w:val="13"/>
        </w:numPr>
        <w:jc w:val="both"/>
        <w:rPr>
          <w:sz w:val="20"/>
          <w:szCs w:val="20"/>
        </w:rPr>
      </w:pPr>
      <w:r>
        <w:rPr>
          <w:sz w:val="20"/>
          <w:szCs w:val="20"/>
        </w:rPr>
        <w:t xml:space="preserve">The emerging community nominated to be part of this approach is decided by the Consortium by consensus. </w:t>
      </w:r>
    </w:p>
    <w:p w14:paraId="318FD296" w14:textId="34B74990" w:rsidR="00A34A54" w:rsidRDefault="00A34A54" w:rsidP="00B54ABA">
      <w:pPr>
        <w:pStyle w:val="ListParagraph"/>
        <w:numPr>
          <w:ilvl w:val="0"/>
          <w:numId w:val="13"/>
        </w:numPr>
        <w:spacing w:before="240"/>
        <w:jc w:val="both"/>
        <w:rPr>
          <w:sz w:val="20"/>
          <w:szCs w:val="20"/>
        </w:rPr>
      </w:pPr>
      <w:r>
        <w:rPr>
          <w:sz w:val="20"/>
          <w:szCs w:val="20"/>
        </w:rPr>
        <w:t>The focus group</w:t>
      </w:r>
      <w:r w:rsidR="00986F02">
        <w:rPr>
          <w:sz w:val="20"/>
          <w:szCs w:val="20"/>
        </w:rPr>
        <w:t xml:space="preserve"> is</w:t>
      </w:r>
      <w:r>
        <w:rPr>
          <w:sz w:val="20"/>
          <w:szCs w:val="20"/>
        </w:rPr>
        <w:t xml:space="preserve"> designed to include</w:t>
      </w:r>
      <w:r w:rsidR="00986F02">
        <w:rPr>
          <w:sz w:val="20"/>
          <w:szCs w:val="20"/>
        </w:rPr>
        <w:t xml:space="preserve"> at least one palliative care clinician</w:t>
      </w:r>
      <w:r>
        <w:rPr>
          <w:sz w:val="20"/>
          <w:szCs w:val="20"/>
        </w:rPr>
        <w:t>.</w:t>
      </w:r>
    </w:p>
    <w:p w14:paraId="18205B3C" w14:textId="71E61869" w:rsidR="00F12306" w:rsidRDefault="0066570D" w:rsidP="00B54ABA">
      <w:pPr>
        <w:pStyle w:val="ListParagraph"/>
        <w:numPr>
          <w:ilvl w:val="0"/>
          <w:numId w:val="13"/>
        </w:numPr>
        <w:spacing w:before="240"/>
        <w:jc w:val="both"/>
        <w:rPr>
          <w:sz w:val="20"/>
          <w:szCs w:val="20"/>
        </w:rPr>
      </w:pPr>
      <w:r>
        <w:rPr>
          <w:sz w:val="20"/>
          <w:szCs w:val="20"/>
        </w:rPr>
        <w:t>T</w:t>
      </w:r>
      <w:r w:rsidR="007E1782" w:rsidRPr="00A34A54">
        <w:rPr>
          <w:sz w:val="20"/>
          <w:szCs w:val="20"/>
        </w:rPr>
        <w:t xml:space="preserve">he usefulness of the work undertaken </w:t>
      </w:r>
      <w:r>
        <w:rPr>
          <w:sz w:val="20"/>
          <w:szCs w:val="20"/>
        </w:rPr>
        <w:t xml:space="preserve">is evaluated </w:t>
      </w:r>
      <w:r w:rsidR="007E1782" w:rsidRPr="00A34A54">
        <w:rPr>
          <w:sz w:val="20"/>
          <w:szCs w:val="20"/>
        </w:rPr>
        <w:t>by applying agreed performance measure</w:t>
      </w:r>
      <w:r>
        <w:rPr>
          <w:sz w:val="20"/>
          <w:szCs w:val="20"/>
        </w:rPr>
        <w:t>s</w:t>
      </w:r>
      <w:r w:rsidR="007E1782" w:rsidRPr="00A34A54">
        <w:rPr>
          <w:sz w:val="20"/>
          <w:szCs w:val="20"/>
        </w:rPr>
        <w:t xml:space="preserve"> to determine if this exercise should be repeated for other emerging communities.</w:t>
      </w:r>
      <w:r w:rsidR="00A34A54" w:rsidRPr="00A34A54">
        <w:rPr>
          <w:sz w:val="20"/>
          <w:szCs w:val="20"/>
        </w:rPr>
        <w:t xml:space="preserve">  </w:t>
      </w:r>
      <w:r w:rsidR="00986F02">
        <w:rPr>
          <w:sz w:val="20"/>
          <w:szCs w:val="20"/>
        </w:rPr>
        <w:t>T</w:t>
      </w:r>
      <w:r w:rsidR="00A34A54" w:rsidRPr="00A34A54">
        <w:rPr>
          <w:sz w:val="20"/>
          <w:szCs w:val="20"/>
        </w:rPr>
        <w:t xml:space="preserve">he </w:t>
      </w:r>
      <w:r w:rsidR="00A34A54">
        <w:rPr>
          <w:sz w:val="20"/>
          <w:szCs w:val="20"/>
        </w:rPr>
        <w:t>fol</w:t>
      </w:r>
      <w:r w:rsidR="00F12306" w:rsidRPr="00A34A54">
        <w:rPr>
          <w:sz w:val="20"/>
          <w:szCs w:val="20"/>
        </w:rPr>
        <w:t>lowing performance measures and targets are proposed to support evaluation of the focus group, outputs and information</w:t>
      </w:r>
      <w:r w:rsidR="007E1782" w:rsidRPr="00A34A54">
        <w:rPr>
          <w:sz w:val="20"/>
          <w:szCs w:val="20"/>
        </w:rPr>
        <w:t xml:space="preserve">.  </w:t>
      </w:r>
    </w:p>
    <w:tbl>
      <w:tblPr>
        <w:tblStyle w:val="TableGrid"/>
        <w:tblW w:w="9634" w:type="dxa"/>
        <w:tblLook w:val="04A0" w:firstRow="1" w:lastRow="0" w:firstColumn="1" w:lastColumn="0" w:noHBand="0" w:noVBand="1"/>
      </w:tblPr>
      <w:tblGrid>
        <w:gridCol w:w="1838"/>
        <w:gridCol w:w="1559"/>
        <w:gridCol w:w="1559"/>
        <w:gridCol w:w="1559"/>
        <w:gridCol w:w="1559"/>
        <w:gridCol w:w="1560"/>
      </w:tblGrid>
      <w:tr w:rsidR="008B0F2C" w14:paraId="76745339" w14:textId="77777777" w:rsidTr="008B0F2C">
        <w:trPr>
          <w:tblHeader/>
        </w:trPr>
        <w:tc>
          <w:tcPr>
            <w:tcW w:w="1838" w:type="dxa"/>
            <w:shd w:val="clear" w:color="auto" w:fill="auto"/>
          </w:tcPr>
          <w:p w14:paraId="17E24633" w14:textId="77777777" w:rsidR="0071723B" w:rsidRPr="00F12306" w:rsidRDefault="0071723B" w:rsidP="0071723B">
            <w:pPr>
              <w:jc w:val="both"/>
              <w:rPr>
                <w:sz w:val="18"/>
                <w:szCs w:val="18"/>
              </w:rPr>
            </w:pPr>
          </w:p>
        </w:tc>
        <w:tc>
          <w:tcPr>
            <w:tcW w:w="1559" w:type="dxa"/>
            <w:shd w:val="clear" w:color="auto" w:fill="auto"/>
          </w:tcPr>
          <w:p w14:paraId="5EABE433" w14:textId="732F7DA1" w:rsidR="0071723B" w:rsidRPr="008B0F2C" w:rsidRDefault="0071723B" w:rsidP="00F12306">
            <w:pPr>
              <w:jc w:val="center"/>
              <w:rPr>
                <w:b/>
                <w:bCs/>
                <w:sz w:val="18"/>
                <w:szCs w:val="18"/>
              </w:rPr>
            </w:pPr>
            <w:r w:rsidRPr="008B0F2C">
              <w:rPr>
                <w:b/>
                <w:bCs/>
                <w:sz w:val="18"/>
                <w:szCs w:val="18"/>
              </w:rPr>
              <w:t>Strongly Disagree</w:t>
            </w:r>
            <w:r w:rsidR="007E1782" w:rsidRPr="008B0F2C">
              <w:rPr>
                <w:b/>
                <w:bCs/>
                <w:sz w:val="18"/>
                <w:szCs w:val="18"/>
              </w:rPr>
              <w:t xml:space="preserve"> (1)</w:t>
            </w:r>
          </w:p>
        </w:tc>
        <w:tc>
          <w:tcPr>
            <w:tcW w:w="1559" w:type="dxa"/>
            <w:shd w:val="clear" w:color="auto" w:fill="auto"/>
          </w:tcPr>
          <w:p w14:paraId="1EC01F35" w14:textId="77777777" w:rsidR="0071723B" w:rsidRPr="008B0F2C" w:rsidRDefault="0071723B" w:rsidP="00F12306">
            <w:pPr>
              <w:jc w:val="center"/>
              <w:rPr>
                <w:b/>
                <w:bCs/>
                <w:sz w:val="18"/>
                <w:szCs w:val="18"/>
              </w:rPr>
            </w:pPr>
            <w:r w:rsidRPr="008B0F2C">
              <w:rPr>
                <w:b/>
                <w:bCs/>
                <w:sz w:val="18"/>
                <w:szCs w:val="18"/>
              </w:rPr>
              <w:t>Disagree</w:t>
            </w:r>
          </w:p>
          <w:p w14:paraId="035E51EC" w14:textId="03948261" w:rsidR="007E1782" w:rsidRPr="008B0F2C" w:rsidRDefault="007E1782" w:rsidP="00F12306">
            <w:pPr>
              <w:jc w:val="center"/>
              <w:rPr>
                <w:b/>
                <w:bCs/>
                <w:sz w:val="18"/>
                <w:szCs w:val="18"/>
              </w:rPr>
            </w:pPr>
            <w:r w:rsidRPr="008B0F2C">
              <w:rPr>
                <w:b/>
                <w:bCs/>
                <w:sz w:val="18"/>
                <w:szCs w:val="18"/>
              </w:rPr>
              <w:t>(2)</w:t>
            </w:r>
          </w:p>
        </w:tc>
        <w:tc>
          <w:tcPr>
            <w:tcW w:w="1559" w:type="dxa"/>
            <w:shd w:val="clear" w:color="auto" w:fill="auto"/>
          </w:tcPr>
          <w:p w14:paraId="7AE93321" w14:textId="77777777" w:rsidR="0071723B" w:rsidRPr="008B0F2C" w:rsidRDefault="0071723B" w:rsidP="00F12306">
            <w:pPr>
              <w:jc w:val="center"/>
              <w:rPr>
                <w:b/>
                <w:bCs/>
                <w:sz w:val="18"/>
                <w:szCs w:val="18"/>
              </w:rPr>
            </w:pPr>
            <w:r w:rsidRPr="008B0F2C">
              <w:rPr>
                <w:b/>
                <w:bCs/>
                <w:sz w:val="18"/>
                <w:szCs w:val="18"/>
              </w:rPr>
              <w:t>Neither agree nor disagree</w:t>
            </w:r>
          </w:p>
          <w:p w14:paraId="54797298" w14:textId="2CB68BA0" w:rsidR="007E1782" w:rsidRPr="008B0F2C" w:rsidRDefault="007E1782" w:rsidP="00F12306">
            <w:pPr>
              <w:jc w:val="center"/>
              <w:rPr>
                <w:b/>
                <w:bCs/>
                <w:sz w:val="18"/>
                <w:szCs w:val="18"/>
              </w:rPr>
            </w:pPr>
            <w:r w:rsidRPr="008B0F2C">
              <w:rPr>
                <w:b/>
                <w:bCs/>
                <w:sz w:val="18"/>
                <w:szCs w:val="18"/>
              </w:rPr>
              <w:t>(3)</w:t>
            </w:r>
          </w:p>
        </w:tc>
        <w:tc>
          <w:tcPr>
            <w:tcW w:w="1559" w:type="dxa"/>
            <w:shd w:val="clear" w:color="auto" w:fill="auto"/>
          </w:tcPr>
          <w:p w14:paraId="4201C3F9" w14:textId="77777777" w:rsidR="0071723B" w:rsidRPr="008B0F2C" w:rsidRDefault="0071723B" w:rsidP="00F12306">
            <w:pPr>
              <w:jc w:val="center"/>
              <w:rPr>
                <w:b/>
                <w:bCs/>
                <w:sz w:val="18"/>
                <w:szCs w:val="18"/>
              </w:rPr>
            </w:pPr>
            <w:r w:rsidRPr="008B0F2C">
              <w:rPr>
                <w:b/>
                <w:bCs/>
                <w:sz w:val="18"/>
                <w:szCs w:val="18"/>
              </w:rPr>
              <w:t>Agree</w:t>
            </w:r>
          </w:p>
          <w:p w14:paraId="522E2355" w14:textId="1A7F59B8" w:rsidR="007E1782" w:rsidRPr="008B0F2C" w:rsidRDefault="007E1782" w:rsidP="00F12306">
            <w:pPr>
              <w:jc w:val="center"/>
              <w:rPr>
                <w:b/>
                <w:bCs/>
                <w:sz w:val="18"/>
                <w:szCs w:val="18"/>
              </w:rPr>
            </w:pPr>
            <w:r w:rsidRPr="008B0F2C">
              <w:rPr>
                <w:b/>
                <w:bCs/>
                <w:sz w:val="18"/>
                <w:szCs w:val="18"/>
              </w:rPr>
              <w:t>(4)</w:t>
            </w:r>
          </w:p>
        </w:tc>
        <w:tc>
          <w:tcPr>
            <w:tcW w:w="1560" w:type="dxa"/>
            <w:shd w:val="clear" w:color="auto" w:fill="auto"/>
          </w:tcPr>
          <w:p w14:paraId="473DBDA4" w14:textId="77777777" w:rsidR="0071723B" w:rsidRPr="008B0F2C" w:rsidRDefault="0071723B" w:rsidP="00F12306">
            <w:pPr>
              <w:jc w:val="center"/>
              <w:rPr>
                <w:b/>
                <w:bCs/>
                <w:sz w:val="18"/>
                <w:szCs w:val="18"/>
              </w:rPr>
            </w:pPr>
            <w:r w:rsidRPr="008B0F2C">
              <w:rPr>
                <w:b/>
                <w:bCs/>
                <w:sz w:val="18"/>
                <w:szCs w:val="18"/>
              </w:rPr>
              <w:t>Strongly agree</w:t>
            </w:r>
          </w:p>
          <w:p w14:paraId="4F0E6638" w14:textId="2003067E" w:rsidR="007E1782" w:rsidRPr="008B0F2C" w:rsidRDefault="007E1782" w:rsidP="00F12306">
            <w:pPr>
              <w:jc w:val="center"/>
              <w:rPr>
                <w:b/>
                <w:bCs/>
                <w:sz w:val="18"/>
                <w:szCs w:val="18"/>
              </w:rPr>
            </w:pPr>
            <w:r w:rsidRPr="008B0F2C">
              <w:rPr>
                <w:b/>
                <w:bCs/>
                <w:sz w:val="18"/>
                <w:szCs w:val="18"/>
              </w:rPr>
              <w:t>(5)</w:t>
            </w:r>
          </w:p>
        </w:tc>
      </w:tr>
      <w:tr w:rsidR="008B0F2C" w14:paraId="33585911" w14:textId="7AD8E3C6" w:rsidTr="008B0F2C">
        <w:tc>
          <w:tcPr>
            <w:tcW w:w="1838" w:type="dxa"/>
          </w:tcPr>
          <w:p w14:paraId="519BA3AD" w14:textId="77777777" w:rsidR="007E1782" w:rsidRPr="00A34A54" w:rsidRDefault="007E1782" w:rsidP="0071723B">
            <w:pPr>
              <w:jc w:val="both"/>
              <w:rPr>
                <w:b/>
                <w:bCs/>
                <w:sz w:val="18"/>
                <w:szCs w:val="18"/>
              </w:rPr>
            </w:pPr>
            <w:r w:rsidRPr="00A34A54">
              <w:rPr>
                <w:b/>
                <w:bCs/>
                <w:sz w:val="18"/>
                <w:szCs w:val="18"/>
              </w:rPr>
              <w:t>Statement 1:</w:t>
            </w:r>
          </w:p>
          <w:p w14:paraId="642A63F9" w14:textId="558104A2" w:rsidR="0071723B" w:rsidRPr="00F12306" w:rsidRDefault="0071723B" w:rsidP="0071723B">
            <w:pPr>
              <w:jc w:val="both"/>
              <w:rPr>
                <w:sz w:val="18"/>
                <w:szCs w:val="18"/>
              </w:rPr>
            </w:pPr>
            <w:r w:rsidRPr="00F12306">
              <w:rPr>
                <w:sz w:val="18"/>
                <w:szCs w:val="18"/>
              </w:rPr>
              <w:t>Documented outputs from focus group are comprehensive and reflect the content of the discussion</w:t>
            </w:r>
            <w:r w:rsidR="00F12306">
              <w:rPr>
                <w:sz w:val="18"/>
                <w:szCs w:val="18"/>
              </w:rPr>
              <w:t>.</w:t>
            </w:r>
            <w:r w:rsidRPr="00F12306">
              <w:rPr>
                <w:sz w:val="18"/>
                <w:szCs w:val="18"/>
              </w:rPr>
              <w:t xml:space="preserve"> (Target is rating of 4/5)</w:t>
            </w:r>
          </w:p>
        </w:tc>
        <w:tc>
          <w:tcPr>
            <w:tcW w:w="1559" w:type="dxa"/>
          </w:tcPr>
          <w:p w14:paraId="494A4543" w14:textId="56B35D44" w:rsidR="0071723B" w:rsidRPr="00F12306" w:rsidRDefault="0071723B" w:rsidP="0071723B">
            <w:pPr>
              <w:jc w:val="both"/>
              <w:rPr>
                <w:sz w:val="18"/>
                <w:szCs w:val="18"/>
              </w:rPr>
            </w:pPr>
            <w:r w:rsidRPr="00F12306">
              <w:rPr>
                <w:sz w:val="18"/>
                <w:szCs w:val="18"/>
              </w:rPr>
              <w:t xml:space="preserve"> </w:t>
            </w:r>
          </w:p>
        </w:tc>
        <w:tc>
          <w:tcPr>
            <w:tcW w:w="1559" w:type="dxa"/>
          </w:tcPr>
          <w:p w14:paraId="627DCF35" w14:textId="77777777" w:rsidR="0071723B" w:rsidRPr="00F12306" w:rsidRDefault="0071723B" w:rsidP="0071723B">
            <w:pPr>
              <w:jc w:val="both"/>
              <w:rPr>
                <w:sz w:val="18"/>
                <w:szCs w:val="18"/>
              </w:rPr>
            </w:pPr>
          </w:p>
        </w:tc>
        <w:tc>
          <w:tcPr>
            <w:tcW w:w="1559" w:type="dxa"/>
          </w:tcPr>
          <w:p w14:paraId="12BBB7FF" w14:textId="77777777" w:rsidR="0071723B" w:rsidRPr="00F12306" w:rsidRDefault="0071723B" w:rsidP="0071723B">
            <w:pPr>
              <w:jc w:val="both"/>
              <w:rPr>
                <w:sz w:val="18"/>
                <w:szCs w:val="18"/>
              </w:rPr>
            </w:pPr>
          </w:p>
        </w:tc>
        <w:tc>
          <w:tcPr>
            <w:tcW w:w="1559" w:type="dxa"/>
          </w:tcPr>
          <w:p w14:paraId="09F6110A" w14:textId="77777777" w:rsidR="0071723B" w:rsidRPr="00F12306" w:rsidRDefault="0071723B" w:rsidP="0071723B">
            <w:pPr>
              <w:jc w:val="both"/>
              <w:rPr>
                <w:sz w:val="18"/>
                <w:szCs w:val="18"/>
              </w:rPr>
            </w:pPr>
          </w:p>
        </w:tc>
        <w:tc>
          <w:tcPr>
            <w:tcW w:w="1560" w:type="dxa"/>
          </w:tcPr>
          <w:p w14:paraId="6DA72514" w14:textId="77777777" w:rsidR="0071723B" w:rsidRPr="00F12306" w:rsidRDefault="0071723B" w:rsidP="0071723B">
            <w:pPr>
              <w:jc w:val="both"/>
              <w:rPr>
                <w:sz w:val="18"/>
                <w:szCs w:val="18"/>
              </w:rPr>
            </w:pPr>
          </w:p>
        </w:tc>
      </w:tr>
      <w:tr w:rsidR="008B0F2C" w14:paraId="38DA383B" w14:textId="77777777" w:rsidTr="008B0F2C">
        <w:tc>
          <w:tcPr>
            <w:tcW w:w="1838" w:type="dxa"/>
          </w:tcPr>
          <w:p w14:paraId="51D4B2FA" w14:textId="0B5F32B5" w:rsidR="007E1782" w:rsidRPr="00A34A54" w:rsidRDefault="007E1782" w:rsidP="007E1782">
            <w:pPr>
              <w:jc w:val="both"/>
              <w:rPr>
                <w:b/>
                <w:bCs/>
                <w:sz w:val="18"/>
                <w:szCs w:val="18"/>
              </w:rPr>
            </w:pPr>
            <w:r w:rsidRPr="00A34A54">
              <w:rPr>
                <w:b/>
                <w:bCs/>
                <w:sz w:val="18"/>
                <w:szCs w:val="18"/>
              </w:rPr>
              <w:lastRenderedPageBreak/>
              <w:t xml:space="preserve">Statement </w:t>
            </w:r>
            <w:r w:rsidR="00A34A54" w:rsidRPr="00A34A54">
              <w:rPr>
                <w:b/>
                <w:bCs/>
                <w:sz w:val="18"/>
                <w:szCs w:val="18"/>
              </w:rPr>
              <w:t>2</w:t>
            </w:r>
            <w:r w:rsidRPr="00A34A54">
              <w:rPr>
                <w:b/>
                <w:bCs/>
                <w:sz w:val="18"/>
                <w:szCs w:val="18"/>
              </w:rPr>
              <w:t>:</w:t>
            </w:r>
          </w:p>
          <w:p w14:paraId="048D2F29" w14:textId="7E39FAA8" w:rsidR="0071723B" w:rsidRPr="00F12306" w:rsidRDefault="0071723B" w:rsidP="00CC2B7F">
            <w:pPr>
              <w:jc w:val="both"/>
              <w:rPr>
                <w:sz w:val="18"/>
                <w:szCs w:val="18"/>
              </w:rPr>
            </w:pPr>
            <w:r w:rsidRPr="00F12306">
              <w:rPr>
                <w:sz w:val="18"/>
                <w:szCs w:val="18"/>
              </w:rPr>
              <w:t xml:space="preserve">Feedback from </w:t>
            </w:r>
            <w:r w:rsidR="007E1782">
              <w:rPr>
                <w:sz w:val="18"/>
                <w:szCs w:val="18"/>
              </w:rPr>
              <w:t xml:space="preserve">community </w:t>
            </w:r>
            <w:r w:rsidRPr="00F12306">
              <w:rPr>
                <w:sz w:val="18"/>
                <w:szCs w:val="18"/>
              </w:rPr>
              <w:t>palliative care representatives attending and observing the focus group demonstrates the information was useful, relevant and informative</w:t>
            </w:r>
            <w:r w:rsidR="00F12306">
              <w:rPr>
                <w:sz w:val="18"/>
                <w:szCs w:val="18"/>
              </w:rPr>
              <w:t>.</w:t>
            </w:r>
          </w:p>
          <w:p w14:paraId="3756ED2B" w14:textId="77777777" w:rsidR="0071723B" w:rsidRPr="00F12306" w:rsidRDefault="0071723B" w:rsidP="00CC2B7F">
            <w:pPr>
              <w:jc w:val="both"/>
              <w:rPr>
                <w:sz w:val="18"/>
                <w:szCs w:val="18"/>
              </w:rPr>
            </w:pPr>
            <w:r w:rsidRPr="00F12306">
              <w:rPr>
                <w:sz w:val="18"/>
                <w:szCs w:val="18"/>
              </w:rPr>
              <w:t xml:space="preserve">(Target is rating of 4/5) </w:t>
            </w:r>
          </w:p>
        </w:tc>
        <w:tc>
          <w:tcPr>
            <w:tcW w:w="1559" w:type="dxa"/>
          </w:tcPr>
          <w:p w14:paraId="1CD56A15" w14:textId="77777777" w:rsidR="0071723B" w:rsidRPr="00F12306" w:rsidRDefault="0071723B" w:rsidP="00CC2B7F">
            <w:pPr>
              <w:jc w:val="both"/>
              <w:rPr>
                <w:sz w:val="18"/>
                <w:szCs w:val="18"/>
              </w:rPr>
            </w:pPr>
          </w:p>
        </w:tc>
        <w:tc>
          <w:tcPr>
            <w:tcW w:w="1559" w:type="dxa"/>
          </w:tcPr>
          <w:p w14:paraId="42536AD7" w14:textId="77777777" w:rsidR="0071723B" w:rsidRPr="00F12306" w:rsidRDefault="0071723B" w:rsidP="00CC2B7F">
            <w:pPr>
              <w:jc w:val="both"/>
              <w:rPr>
                <w:sz w:val="18"/>
                <w:szCs w:val="18"/>
              </w:rPr>
            </w:pPr>
          </w:p>
        </w:tc>
        <w:tc>
          <w:tcPr>
            <w:tcW w:w="1559" w:type="dxa"/>
          </w:tcPr>
          <w:p w14:paraId="15369153" w14:textId="77777777" w:rsidR="0071723B" w:rsidRPr="00F12306" w:rsidRDefault="0071723B" w:rsidP="00CC2B7F">
            <w:pPr>
              <w:jc w:val="both"/>
              <w:rPr>
                <w:sz w:val="18"/>
                <w:szCs w:val="18"/>
              </w:rPr>
            </w:pPr>
          </w:p>
        </w:tc>
        <w:tc>
          <w:tcPr>
            <w:tcW w:w="1559" w:type="dxa"/>
          </w:tcPr>
          <w:p w14:paraId="6971E11C" w14:textId="77777777" w:rsidR="0071723B" w:rsidRPr="00F12306" w:rsidRDefault="0071723B" w:rsidP="00CC2B7F">
            <w:pPr>
              <w:jc w:val="both"/>
              <w:rPr>
                <w:sz w:val="18"/>
                <w:szCs w:val="18"/>
              </w:rPr>
            </w:pPr>
          </w:p>
        </w:tc>
        <w:tc>
          <w:tcPr>
            <w:tcW w:w="1560" w:type="dxa"/>
          </w:tcPr>
          <w:p w14:paraId="50D5E5B5" w14:textId="77777777" w:rsidR="0071723B" w:rsidRPr="00F12306" w:rsidRDefault="0071723B" w:rsidP="00CC2B7F">
            <w:pPr>
              <w:jc w:val="both"/>
              <w:rPr>
                <w:sz w:val="18"/>
                <w:szCs w:val="18"/>
              </w:rPr>
            </w:pPr>
          </w:p>
        </w:tc>
      </w:tr>
      <w:tr w:rsidR="008B0F2C" w14:paraId="249AA761" w14:textId="77777777" w:rsidTr="008B0F2C">
        <w:tc>
          <w:tcPr>
            <w:tcW w:w="1838" w:type="dxa"/>
          </w:tcPr>
          <w:p w14:paraId="67E3139C" w14:textId="64B012CC" w:rsidR="007E1782" w:rsidRPr="00A34A54" w:rsidRDefault="007E1782" w:rsidP="007E1782">
            <w:pPr>
              <w:jc w:val="both"/>
              <w:rPr>
                <w:b/>
                <w:bCs/>
                <w:sz w:val="18"/>
                <w:szCs w:val="18"/>
              </w:rPr>
            </w:pPr>
            <w:r w:rsidRPr="00A34A54">
              <w:rPr>
                <w:b/>
                <w:bCs/>
                <w:sz w:val="18"/>
                <w:szCs w:val="18"/>
              </w:rPr>
              <w:t xml:space="preserve">Statement </w:t>
            </w:r>
            <w:r w:rsidR="00A34A54" w:rsidRPr="00A34A54">
              <w:rPr>
                <w:b/>
                <w:bCs/>
                <w:sz w:val="18"/>
                <w:szCs w:val="18"/>
              </w:rPr>
              <w:t>3</w:t>
            </w:r>
            <w:r w:rsidRPr="00A34A54">
              <w:rPr>
                <w:b/>
                <w:bCs/>
                <w:sz w:val="18"/>
                <w:szCs w:val="18"/>
              </w:rPr>
              <w:t>:</w:t>
            </w:r>
          </w:p>
          <w:p w14:paraId="6EA92DAE" w14:textId="5D6B57A1" w:rsidR="00F12306" w:rsidRPr="00F12306" w:rsidRDefault="00F12306" w:rsidP="00CC2B7F">
            <w:pPr>
              <w:jc w:val="both"/>
              <w:rPr>
                <w:sz w:val="18"/>
                <w:szCs w:val="18"/>
              </w:rPr>
            </w:pPr>
            <w:r w:rsidRPr="00F12306">
              <w:rPr>
                <w:sz w:val="18"/>
                <w:szCs w:val="18"/>
              </w:rPr>
              <w:t xml:space="preserve">The information gathered as part of the focus group will </w:t>
            </w:r>
            <w:r>
              <w:rPr>
                <w:sz w:val="18"/>
                <w:szCs w:val="18"/>
              </w:rPr>
              <w:t xml:space="preserve">provide a strong foundation to </w:t>
            </w:r>
            <w:r w:rsidRPr="00F12306">
              <w:rPr>
                <w:sz w:val="18"/>
                <w:szCs w:val="18"/>
              </w:rPr>
              <w:t>inform practice and resource development</w:t>
            </w:r>
            <w:r>
              <w:rPr>
                <w:sz w:val="18"/>
                <w:szCs w:val="18"/>
              </w:rPr>
              <w:t>.</w:t>
            </w:r>
          </w:p>
          <w:p w14:paraId="6B4A4D8A" w14:textId="77777777" w:rsidR="00F12306" w:rsidRPr="00F12306" w:rsidRDefault="00F12306" w:rsidP="00CC2B7F">
            <w:pPr>
              <w:jc w:val="both"/>
              <w:rPr>
                <w:sz w:val="18"/>
                <w:szCs w:val="18"/>
              </w:rPr>
            </w:pPr>
            <w:r w:rsidRPr="00F12306">
              <w:rPr>
                <w:sz w:val="18"/>
                <w:szCs w:val="18"/>
              </w:rPr>
              <w:t xml:space="preserve">(Target is rating of 4/5) </w:t>
            </w:r>
          </w:p>
        </w:tc>
        <w:tc>
          <w:tcPr>
            <w:tcW w:w="1559" w:type="dxa"/>
          </w:tcPr>
          <w:p w14:paraId="1C8DA58A" w14:textId="77777777" w:rsidR="00F12306" w:rsidRPr="00F12306" w:rsidRDefault="00F12306" w:rsidP="00CC2B7F">
            <w:pPr>
              <w:jc w:val="both"/>
              <w:rPr>
                <w:sz w:val="18"/>
                <w:szCs w:val="18"/>
              </w:rPr>
            </w:pPr>
          </w:p>
        </w:tc>
        <w:tc>
          <w:tcPr>
            <w:tcW w:w="1559" w:type="dxa"/>
          </w:tcPr>
          <w:p w14:paraId="01146319" w14:textId="77777777" w:rsidR="00F12306" w:rsidRPr="00F12306" w:rsidRDefault="00F12306" w:rsidP="00CC2B7F">
            <w:pPr>
              <w:jc w:val="both"/>
              <w:rPr>
                <w:sz w:val="18"/>
                <w:szCs w:val="18"/>
              </w:rPr>
            </w:pPr>
          </w:p>
        </w:tc>
        <w:tc>
          <w:tcPr>
            <w:tcW w:w="1559" w:type="dxa"/>
          </w:tcPr>
          <w:p w14:paraId="062A5FE5" w14:textId="77777777" w:rsidR="00F12306" w:rsidRPr="00F12306" w:rsidRDefault="00F12306" w:rsidP="00CC2B7F">
            <w:pPr>
              <w:jc w:val="both"/>
              <w:rPr>
                <w:sz w:val="18"/>
                <w:szCs w:val="18"/>
              </w:rPr>
            </w:pPr>
          </w:p>
        </w:tc>
        <w:tc>
          <w:tcPr>
            <w:tcW w:w="1559" w:type="dxa"/>
          </w:tcPr>
          <w:p w14:paraId="22AD954F" w14:textId="77777777" w:rsidR="00F12306" w:rsidRPr="00F12306" w:rsidRDefault="00F12306" w:rsidP="00CC2B7F">
            <w:pPr>
              <w:jc w:val="both"/>
              <w:rPr>
                <w:sz w:val="18"/>
                <w:szCs w:val="18"/>
              </w:rPr>
            </w:pPr>
          </w:p>
        </w:tc>
        <w:tc>
          <w:tcPr>
            <w:tcW w:w="1560" w:type="dxa"/>
          </w:tcPr>
          <w:p w14:paraId="7845B0C0" w14:textId="77777777" w:rsidR="00F12306" w:rsidRPr="00F12306" w:rsidRDefault="00F12306" w:rsidP="00CC2B7F">
            <w:pPr>
              <w:jc w:val="both"/>
              <w:rPr>
                <w:sz w:val="18"/>
                <w:szCs w:val="18"/>
              </w:rPr>
            </w:pPr>
          </w:p>
        </w:tc>
      </w:tr>
      <w:tr w:rsidR="008B0F2C" w14:paraId="328252CF" w14:textId="40465DBC" w:rsidTr="008B0F2C">
        <w:tc>
          <w:tcPr>
            <w:tcW w:w="1838" w:type="dxa"/>
          </w:tcPr>
          <w:p w14:paraId="0D742C01" w14:textId="67BCE1CA" w:rsidR="007E1782" w:rsidRPr="00A34A54" w:rsidRDefault="007E1782" w:rsidP="007E1782">
            <w:pPr>
              <w:jc w:val="both"/>
              <w:rPr>
                <w:b/>
                <w:bCs/>
                <w:sz w:val="18"/>
                <w:szCs w:val="18"/>
              </w:rPr>
            </w:pPr>
            <w:r w:rsidRPr="00A34A54">
              <w:rPr>
                <w:b/>
                <w:bCs/>
                <w:sz w:val="18"/>
                <w:szCs w:val="18"/>
              </w:rPr>
              <w:t xml:space="preserve">Statement </w:t>
            </w:r>
            <w:r w:rsidR="00A34A54" w:rsidRPr="00A34A54">
              <w:rPr>
                <w:b/>
                <w:bCs/>
                <w:sz w:val="18"/>
                <w:szCs w:val="18"/>
              </w:rPr>
              <w:t>4</w:t>
            </w:r>
            <w:r w:rsidRPr="00A34A54">
              <w:rPr>
                <w:b/>
                <w:bCs/>
                <w:sz w:val="18"/>
                <w:szCs w:val="18"/>
              </w:rPr>
              <w:t>:</w:t>
            </w:r>
          </w:p>
          <w:p w14:paraId="5F5DA369" w14:textId="62FBCA03" w:rsidR="0071723B" w:rsidRPr="00F12306" w:rsidRDefault="00F12306" w:rsidP="00F12306">
            <w:pPr>
              <w:jc w:val="both"/>
              <w:rPr>
                <w:sz w:val="18"/>
                <w:szCs w:val="18"/>
              </w:rPr>
            </w:pPr>
            <w:r>
              <w:rPr>
                <w:sz w:val="18"/>
                <w:szCs w:val="18"/>
              </w:rPr>
              <w:t xml:space="preserve">This approach should be repeated for other emerging communities. </w:t>
            </w:r>
            <w:r w:rsidR="0071723B" w:rsidRPr="00F12306">
              <w:rPr>
                <w:sz w:val="18"/>
                <w:szCs w:val="18"/>
              </w:rPr>
              <w:t xml:space="preserve"> (Target is rating of 4/5) </w:t>
            </w:r>
          </w:p>
        </w:tc>
        <w:tc>
          <w:tcPr>
            <w:tcW w:w="1559" w:type="dxa"/>
          </w:tcPr>
          <w:p w14:paraId="2652E2DD" w14:textId="77777777" w:rsidR="0071723B" w:rsidRPr="00F12306" w:rsidRDefault="0071723B" w:rsidP="0071723B">
            <w:pPr>
              <w:jc w:val="both"/>
              <w:rPr>
                <w:sz w:val="18"/>
                <w:szCs w:val="18"/>
              </w:rPr>
            </w:pPr>
          </w:p>
        </w:tc>
        <w:tc>
          <w:tcPr>
            <w:tcW w:w="1559" w:type="dxa"/>
          </w:tcPr>
          <w:p w14:paraId="332EE44B" w14:textId="77777777" w:rsidR="0071723B" w:rsidRPr="00F12306" w:rsidRDefault="0071723B" w:rsidP="0071723B">
            <w:pPr>
              <w:jc w:val="both"/>
              <w:rPr>
                <w:sz w:val="18"/>
                <w:szCs w:val="18"/>
              </w:rPr>
            </w:pPr>
          </w:p>
        </w:tc>
        <w:tc>
          <w:tcPr>
            <w:tcW w:w="1559" w:type="dxa"/>
          </w:tcPr>
          <w:p w14:paraId="61288B6D" w14:textId="77777777" w:rsidR="0071723B" w:rsidRPr="00F12306" w:rsidRDefault="0071723B" w:rsidP="0071723B">
            <w:pPr>
              <w:jc w:val="both"/>
              <w:rPr>
                <w:sz w:val="18"/>
                <w:szCs w:val="18"/>
              </w:rPr>
            </w:pPr>
          </w:p>
        </w:tc>
        <w:tc>
          <w:tcPr>
            <w:tcW w:w="1559" w:type="dxa"/>
          </w:tcPr>
          <w:p w14:paraId="37E7B432" w14:textId="77777777" w:rsidR="0071723B" w:rsidRPr="00F12306" w:rsidRDefault="0071723B" w:rsidP="0071723B">
            <w:pPr>
              <w:jc w:val="both"/>
              <w:rPr>
                <w:sz w:val="18"/>
                <w:szCs w:val="18"/>
              </w:rPr>
            </w:pPr>
          </w:p>
        </w:tc>
        <w:tc>
          <w:tcPr>
            <w:tcW w:w="1560" w:type="dxa"/>
          </w:tcPr>
          <w:p w14:paraId="6686DDAC" w14:textId="77777777" w:rsidR="0071723B" w:rsidRPr="00F12306" w:rsidRDefault="0071723B" w:rsidP="0071723B">
            <w:pPr>
              <w:jc w:val="both"/>
              <w:rPr>
                <w:sz w:val="18"/>
                <w:szCs w:val="18"/>
              </w:rPr>
            </w:pPr>
          </w:p>
        </w:tc>
      </w:tr>
      <w:tr w:rsidR="00986F02" w14:paraId="32E5E5BD" w14:textId="77777777" w:rsidTr="008B0F2C">
        <w:tc>
          <w:tcPr>
            <w:tcW w:w="1838" w:type="dxa"/>
          </w:tcPr>
          <w:p w14:paraId="3E121ED9" w14:textId="3415163F" w:rsidR="00986F02" w:rsidRPr="00A34A54" w:rsidRDefault="00986F02" w:rsidP="00986F02">
            <w:pPr>
              <w:jc w:val="both"/>
              <w:rPr>
                <w:b/>
                <w:bCs/>
                <w:sz w:val="18"/>
                <w:szCs w:val="18"/>
              </w:rPr>
            </w:pPr>
            <w:r w:rsidRPr="00A34A54">
              <w:rPr>
                <w:b/>
                <w:bCs/>
                <w:sz w:val="18"/>
                <w:szCs w:val="18"/>
              </w:rPr>
              <w:t xml:space="preserve">Statement </w:t>
            </w:r>
            <w:r>
              <w:rPr>
                <w:b/>
                <w:bCs/>
                <w:sz w:val="18"/>
                <w:szCs w:val="18"/>
              </w:rPr>
              <w:t>5</w:t>
            </w:r>
            <w:r w:rsidRPr="00A34A54">
              <w:rPr>
                <w:b/>
                <w:bCs/>
                <w:sz w:val="18"/>
                <w:szCs w:val="18"/>
              </w:rPr>
              <w:t>:</w:t>
            </w:r>
          </w:p>
          <w:p w14:paraId="68D61644" w14:textId="77777777" w:rsidR="00986F02" w:rsidRPr="00A34A54" w:rsidRDefault="00986F02" w:rsidP="00554304">
            <w:pPr>
              <w:jc w:val="both"/>
              <w:rPr>
                <w:b/>
                <w:bCs/>
                <w:sz w:val="18"/>
                <w:szCs w:val="18"/>
              </w:rPr>
            </w:pPr>
            <w:r>
              <w:rPr>
                <w:sz w:val="18"/>
                <w:szCs w:val="18"/>
              </w:rPr>
              <w:t>Palli</w:t>
            </w:r>
            <w:r w:rsidRPr="00F12306">
              <w:rPr>
                <w:sz w:val="18"/>
                <w:szCs w:val="18"/>
              </w:rPr>
              <w:t>ative care representatives attend</w:t>
            </w:r>
            <w:r>
              <w:rPr>
                <w:sz w:val="18"/>
                <w:szCs w:val="18"/>
              </w:rPr>
              <w:t xml:space="preserve">ed </w:t>
            </w:r>
            <w:r w:rsidRPr="00F12306">
              <w:rPr>
                <w:sz w:val="18"/>
                <w:szCs w:val="18"/>
              </w:rPr>
              <w:t>and observ</w:t>
            </w:r>
            <w:r>
              <w:rPr>
                <w:sz w:val="18"/>
                <w:szCs w:val="18"/>
              </w:rPr>
              <w:t xml:space="preserve">ed the </w:t>
            </w:r>
            <w:r w:rsidRPr="00F12306">
              <w:rPr>
                <w:sz w:val="18"/>
                <w:szCs w:val="18"/>
              </w:rPr>
              <w:t xml:space="preserve">focus group. </w:t>
            </w:r>
          </w:p>
        </w:tc>
        <w:tc>
          <w:tcPr>
            <w:tcW w:w="7796" w:type="dxa"/>
            <w:gridSpan w:val="5"/>
          </w:tcPr>
          <w:p w14:paraId="782120D1" w14:textId="77777777" w:rsidR="00986F02" w:rsidRDefault="00986F02" w:rsidP="00554304">
            <w:pPr>
              <w:rPr>
                <w:sz w:val="20"/>
              </w:rPr>
            </w:pPr>
            <w:sdt>
              <w:sdtPr>
                <w:rPr>
                  <w:sz w:val="20"/>
                </w:rPr>
                <w:id w:val="140117387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YES – Note how many and which organisations were they from</w:t>
            </w:r>
          </w:p>
          <w:p w14:paraId="29F4E445" w14:textId="77777777" w:rsidR="00986F02" w:rsidRPr="00F12306" w:rsidRDefault="00986F02" w:rsidP="00554304">
            <w:pPr>
              <w:rPr>
                <w:sz w:val="18"/>
                <w:szCs w:val="18"/>
              </w:rPr>
            </w:pPr>
            <w:sdt>
              <w:sdtPr>
                <w:rPr>
                  <w:sz w:val="20"/>
                </w:rPr>
                <w:id w:val="-9201852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w:t>
            </w:r>
          </w:p>
        </w:tc>
      </w:tr>
      <w:tr w:rsidR="00986F02" w14:paraId="59561A48" w14:textId="77777777" w:rsidTr="008B0F2C">
        <w:tc>
          <w:tcPr>
            <w:tcW w:w="1838" w:type="dxa"/>
          </w:tcPr>
          <w:p w14:paraId="102E3B3E" w14:textId="77777777" w:rsidR="00986F02" w:rsidRPr="00A34A54" w:rsidRDefault="00986F02" w:rsidP="00554304">
            <w:pPr>
              <w:jc w:val="both"/>
              <w:rPr>
                <w:b/>
                <w:bCs/>
                <w:sz w:val="18"/>
                <w:szCs w:val="18"/>
              </w:rPr>
            </w:pPr>
            <w:r w:rsidRPr="00A34A54">
              <w:rPr>
                <w:b/>
                <w:bCs/>
                <w:sz w:val="18"/>
                <w:szCs w:val="18"/>
              </w:rPr>
              <w:t xml:space="preserve">Statement </w:t>
            </w:r>
            <w:r>
              <w:rPr>
                <w:b/>
                <w:bCs/>
                <w:sz w:val="18"/>
                <w:szCs w:val="18"/>
              </w:rPr>
              <w:t>6</w:t>
            </w:r>
            <w:r w:rsidRPr="00A34A54">
              <w:rPr>
                <w:b/>
                <w:bCs/>
                <w:sz w:val="18"/>
                <w:szCs w:val="18"/>
              </w:rPr>
              <w:t>:</w:t>
            </w:r>
          </w:p>
          <w:p w14:paraId="58A38400" w14:textId="77777777" w:rsidR="00986F02" w:rsidRPr="00A34A54" w:rsidRDefault="00986F02" w:rsidP="00554304">
            <w:pPr>
              <w:jc w:val="both"/>
              <w:rPr>
                <w:b/>
                <w:bCs/>
                <w:sz w:val="18"/>
                <w:szCs w:val="18"/>
              </w:rPr>
            </w:pPr>
            <w:r>
              <w:rPr>
                <w:sz w:val="18"/>
                <w:szCs w:val="18"/>
              </w:rPr>
              <w:t>Focus group participants actively sought information and asked questions of palli</w:t>
            </w:r>
            <w:r w:rsidRPr="00F12306">
              <w:rPr>
                <w:sz w:val="18"/>
                <w:szCs w:val="18"/>
              </w:rPr>
              <w:t xml:space="preserve">ative care </w:t>
            </w:r>
            <w:r>
              <w:rPr>
                <w:sz w:val="18"/>
                <w:szCs w:val="18"/>
              </w:rPr>
              <w:t>clinician/s</w:t>
            </w:r>
          </w:p>
        </w:tc>
        <w:tc>
          <w:tcPr>
            <w:tcW w:w="7796" w:type="dxa"/>
            <w:gridSpan w:val="5"/>
          </w:tcPr>
          <w:p w14:paraId="140BE2F9" w14:textId="77777777" w:rsidR="00986F02" w:rsidRDefault="00986F02" w:rsidP="00554304">
            <w:pPr>
              <w:rPr>
                <w:sz w:val="20"/>
              </w:rPr>
            </w:pPr>
            <w:sdt>
              <w:sdtPr>
                <w:rPr>
                  <w:sz w:val="20"/>
                </w:rPr>
                <w:id w:val="1716085939"/>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YES – Themes from questions</w:t>
            </w:r>
          </w:p>
          <w:p w14:paraId="270F1E4F" w14:textId="77777777" w:rsidR="00986F02" w:rsidRDefault="00986F02" w:rsidP="00554304">
            <w:pPr>
              <w:rPr>
                <w:sz w:val="20"/>
              </w:rPr>
            </w:pPr>
          </w:p>
          <w:p w14:paraId="0A0A8ADA" w14:textId="77777777" w:rsidR="00986F02" w:rsidRDefault="00986F02" w:rsidP="00554304">
            <w:pPr>
              <w:rPr>
                <w:sz w:val="20"/>
              </w:rPr>
            </w:pPr>
          </w:p>
          <w:p w14:paraId="517D91FB" w14:textId="77777777" w:rsidR="00986F02" w:rsidRPr="00F12306" w:rsidRDefault="00986F02" w:rsidP="00554304">
            <w:pPr>
              <w:rPr>
                <w:sz w:val="18"/>
                <w:szCs w:val="18"/>
              </w:rPr>
            </w:pPr>
            <w:sdt>
              <w:sdtPr>
                <w:rPr>
                  <w:sz w:val="20"/>
                </w:rPr>
                <w:id w:val="-1971817047"/>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w:t>
            </w:r>
          </w:p>
        </w:tc>
      </w:tr>
      <w:tr w:rsidR="00A34A54" w14:paraId="5C267E3E" w14:textId="77777777" w:rsidTr="008B0F2C">
        <w:tc>
          <w:tcPr>
            <w:tcW w:w="1838" w:type="dxa"/>
          </w:tcPr>
          <w:p w14:paraId="7C4A00EA" w14:textId="11C77DCD" w:rsidR="00986F02" w:rsidRPr="00A34A54" w:rsidRDefault="00986F02" w:rsidP="00986F02">
            <w:pPr>
              <w:jc w:val="both"/>
              <w:rPr>
                <w:b/>
                <w:bCs/>
                <w:sz w:val="18"/>
                <w:szCs w:val="18"/>
              </w:rPr>
            </w:pPr>
            <w:r w:rsidRPr="00A34A54">
              <w:rPr>
                <w:b/>
                <w:bCs/>
                <w:sz w:val="18"/>
                <w:szCs w:val="18"/>
              </w:rPr>
              <w:t xml:space="preserve">Statement </w:t>
            </w:r>
            <w:r>
              <w:rPr>
                <w:b/>
                <w:bCs/>
                <w:sz w:val="18"/>
                <w:szCs w:val="18"/>
              </w:rPr>
              <w:t>7</w:t>
            </w:r>
            <w:r w:rsidRPr="00A34A54">
              <w:rPr>
                <w:b/>
                <w:bCs/>
                <w:sz w:val="18"/>
                <w:szCs w:val="18"/>
              </w:rPr>
              <w:t>:</w:t>
            </w:r>
          </w:p>
          <w:p w14:paraId="10B92E7C" w14:textId="21A684B4" w:rsidR="00A34A54" w:rsidRPr="00A34A54" w:rsidRDefault="008B0F2C" w:rsidP="00A34A54">
            <w:pPr>
              <w:jc w:val="both"/>
              <w:rPr>
                <w:b/>
                <w:bCs/>
                <w:sz w:val="18"/>
                <w:szCs w:val="18"/>
              </w:rPr>
            </w:pPr>
            <w:r>
              <w:rPr>
                <w:sz w:val="18"/>
                <w:szCs w:val="18"/>
              </w:rPr>
              <w:t>Feedback from f</w:t>
            </w:r>
            <w:r w:rsidR="00986F02">
              <w:rPr>
                <w:sz w:val="18"/>
                <w:szCs w:val="18"/>
              </w:rPr>
              <w:t>o</w:t>
            </w:r>
            <w:r w:rsidR="00986F02">
              <w:rPr>
                <w:sz w:val="18"/>
                <w:szCs w:val="18"/>
              </w:rPr>
              <w:t xml:space="preserve">cus group </w:t>
            </w:r>
            <w:r w:rsidR="00986F02">
              <w:rPr>
                <w:sz w:val="18"/>
                <w:szCs w:val="18"/>
              </w:rPr>
              <w:t>participants</w:t>
            </w:r>
            <w:r w:rsidR="00986F02">
              <w:rPr>
                <w:sz w:val="18"/>
                <w:szCs w:val="18"/>
              </w:rPr>
              <w:t xml:space="preserve"> </w:t>
            </w:r>
            <w:r>
              <w:rPr>
                <w:sz w:val="18"/>
                <w:szCs w:val="18"/>
              </w:rPr>
              <w:t>demonstrated they found the experience useful, informative and appropriately conducted (if appropriate</w:t>
            </w:r>
            <w:r w:rsidR="003C2A6E">
              <w:rPr>
                <w:sz w:val="18"/>
                <w:szCs w:val="18"/>
              </w:rPr>
              <w:t>,</w:t>
            </w:r>
            <w:r>
              <w:rPr>
                <w:sz w:val="18"/>
                <w:szCs w:val="18"/>
              </w:rPr>
              <w:t xml:space="preserve"> will seek to </w:t>
            </w:r>
            <w:r w:rsidR="003C2A6E">
              <w:rPr>
                <w:sz w:val="18"/>
                <w:szCs w:val="18"/>
              </w:rPr>
              <w:t>obtain</w:t>
            </w:r>
            <w:r>
              <w:rPr>
                <w:sz w:val="18"/>
                <w:szCs w:val="18"/>
              </w:rPr>
              <w:t xml:space="preserve"> this information through a short survey)</w:t>
            </w:r>
          </w:p>
        </w:tc>
        <w:tc>
          <w:tcPr>
            <w:tcW w:w="7796" w:type="dxa"/>
            <w:gridSpan w:val="5"/>
          </w:tcPr>
          <w:p w14:paraId="758721BE" w14:textId="1D47E13D" w:rsidR="00A34A54" w:rsidRPr="00F12306" w:rsidRDefault="00A34A54" w:rsidP="00A34A54">
            <w:pPr>
              <w:rPr>
                <w:sz w:val="18"/>
                <w:szCs w:val="18"/>
              </w:rPr>
            </w:pPr>
          </w:p>
        </w:tc>
      </w:tr>
    </w:tbl>
    <w:p w14:paraId="6B53109C" w14:textId="77777777" w:rsidR="00487F16" w:rsidRDefault="00487F16" w:rsidP="00A34A54">
      <w:pPr>
        <w:jc w:val="both"/>
      </w:pPr>
    </w:p>
    <w:sectPr w:rsidR="00487F16" w:rsidSect="006701FF">
      <w:headerReference w:type="default" r:id="rId10"/>
      <w:footerReference w:type="default" r:id="rId11"/>
      <w:pgSz w:w="11906" w:h="16838" w:code="9"/>
      <w:pgMar w:top="1985"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5F534" w14:textId="77777777" w:rsidR="00A95CD6" w:rsidRDefault="00A95CD6" w:rsidP="00487F16">
      <w:pPr>
        <w:spacing w:after="0" w:line="240" w:lineRule="auto"/>
      </w:pPr>
      <w:r>
        <w:separator/>
      </w:r>
    </w:p>
  </w:endnote>
  <w:endnote w:type="continuationSeparator" w:id="0">
    <w:p w14:paraId="78E5C791" w14:textId="77777777" w:rsidR="00A95CD6" w:rsidRDefault="00A95CD6" w:rsidP="00487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26C49" w14:textId="77777777" w:rsidR="007F4147" w:rsidRDefault="007F4147" w:rsidP="001A1A4A">
    <w:pPr>
      <w:pBdr>
        <w:top w:val="single" w:sz="4" w:space="1" w:color="auto"/>
      </w:pBdr>
      <w:tabs>
        <w:tab w:val="center" w:pos="4550"/>
        <w:tab w:val="left" w:pos="5818"/>
      </w:tabs>
      <w:ind w:right="-285"/>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270C549B" w14:textId="77777777" w:rsidR="007F4147" w:rsidRDefault="007F4147" w:rsidP="001A1A4A">
    <w:pPr>
      <w:pStyle w:val="Footer"/>
      <w:tabs>
        <w:tab w:val="clear" w:pos="9026"/>
      </w:tabs>
      <w:ind w:right="-2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546FCC" w14:textId="77777777" w:rsidR="00A95CD6" w:rsidRDefault="00A95CD6" w:rsidP="00487F16">
      <w:pPr>
        <w:spacing w:after="0" w:line="240" w:lineRule="auto"/>
      </w:pPr>
      <w:r>
        <w:separator/>
      </w:r>
    </w:p>
  </w:footnote>
  <w:footnote w:type="continuationSeparator" w:id="0">
    <w:p w14:paraId="26B2D1FD" w14:textId="77777777" w:rsidR="00A95CD6" w:rsidRDefault="00A95CD6" w:rsidP="00487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1F48C" w14:textId="1C88ECDC" w:rsidR="00487F16" w:rsidRDefault="00487F16" w:rsidP="00487F16">
    <w:pPr>
      <w:pStyle w:val="Header"/>
      <w:tabs>
        <w:tab w:val="left" w:pos="9180"/>
      </w:tabs>
      <w:rPr>
        <w:b/>
        <w:bCs/>
        <w:sz w:val="28"/>
        <w:szCs w:val="28"/>
      </w:rPr>
    </w:pPr>
    <w:r w:rsidRPr="00487F16">
      <w:rPr>
        <w:b/>
        <w:bCs/>
        <w:noProof/>
        <w:sz w:val="28"/>
        <w:szCs w:val="28"/>
      </w:rPr>
      <w:drawing>
        <wp:anchor distT="0" distB="0" distL="114300" distR="114300" simplePos="0" relativeHeight="251657216" behindDoc="0" locked="0" layoutInCell="1" allowOverlap="1" wp14:anchorId="57F3BCD2" wp14:editId="5BC0591D">
          <wp:simplePos x="0" y="0"/>
          <wp:positionH relativeFrom="column">
            <wp:posOffset>3467100</wp:posOffset>
          </wp:positionH>
          <wp:positionV relativeFrom="paragraph">
            <wp:posOffset>-148590</wp:posOffset>
          </wp:positionV>
          <wp:extent cx="2495550" cy="527333"/>
          <wp:effectExtent l="0" t="0" r="0" b="6350"/>
          <wp:wrapNone/>
          <wp:docPr id="3" name="Picture 1" descr="NW-Logo-H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Logo-Hz"/>
                  <pic:cNvPicPr>
                    <a:picLocks noChangeAspect="1" noChangeArrowheads="1"/>
                  </pic:cNvPicPr>
                </pic:nvPicPr>
                <pic:blipFill>
                  <a:blip r:embed="rId1"/>
                  <a:srcRect/>
                  <a:stretch>
                    <a:fillRect/>
                  </a:stretch>
                </pic:blipFill>
                <pic:spPr bwMode="auto">
                  <a:xfrm>
                    <a:off x="0" y="0"/>
                    <a:ext cx="2495550" cy="527333"/>
                  </a:xfrm>
                  <a:prstGeom prst="rect">
                    <a:avLst/>
                  </a:prstGeom>
                  <a:noFill/>
                </pic:spPr>
              </pic:pic>
            </a:graphicData>
          </a:graphic>
          <wp14:sizeRelH relativeFrom="margin">
            <wp14:pctWidth>0</wp14:pctWidth>
          </wp14:sizeRelH>
          <wp14:sizeRelV relativeFrom="margin">
            <wp14:pctHeight>0</wp14:pctHeight>
          </wp14:sizeRelV>
        </wp:anchor>
      </w:drawing>
    </w:r>
    <w:r w:rsidRPr="00487F16">
      <w:rPr>
        <w:b/>
        <w:bCs/>
        <w:sz w:val="28"/>
        <w:szCs w:val="28"/>
      </w:rPr>
      <w:t xml:space="preserve">Briefing </w:t>
    </w:r>
    <w:r w:rsidR="00A704AB">
      <w:rPr>
        <w:b/>
        <w:bCs/>
        <w:sz w:val="28"/>
        <w:szCs w:val="28"/>
      </w:rPr>
      <w:t>note</w:t>
    </w:r>
    <w:r w:rsidRPr="00487F16">
      <w:rPr>
        <w:b/>
        <w:bCs/>
        <w:sz w:val="28"/>
        <w:szCs w:val="28"/>
      </w:rPr>
      <w:t xml:space="preserve"> for </w:t>
    </w:r>
  </w:p>
  <w:p w14:paraId="65D8AE4D" w14:textId="7B03932C" w:rsidR="00487F16" w:rsidRPr="00487F16" w:rsidRDefault="00487F16" w:rsidP="00487F16">
    <w:pPr>
      <w:pStyle w:val="Header"/>
      <w:tabs>
        <w:tab w:val="left" w:pos="9180"/>
      </w:tabs>
      <w:rPr>
        <w:b/>
        <w:bCs/>
        <w:sz w:val="28"/>
        <w:szCs w:val="28"/>
      </w:rPr>
    </w:pPr>
    <w:r w:rsidRPr="00487F16">
      <w:rPr>
        <w:b/>
        <w:bCs/>
        <w:sz w:val="28"/>
        <w:szCs w:val="28"/>
      </w:rPr>
      <w:t>Consortium Management Group</w:t>
    </w:r>
  </w:p>
  <w:p w14:paraId="2CDC4324" w14:textId="77777777" w:rsidR="00487F16" w:rsidRPr="001A1A4A" w:rsidRDefault="00487F16" w:rsidP="00487F16">
    <w:pPr>
      <w:pStyle w:val="Header"/>
      <w:tabs>
        <w:tab w:val="left" w:pos="9180"/>
      </w:tabs>
      <w:rPr>
        <w:b/>
        <w:bCs/>
        <w:sz w:val="4"/>
        <w:szCs w:val="4"/>
      </w:rPr>
    </w:pPr>
  </w:p>
  <w:p w14:paraId="668CBF9F" w14:textId="77777777" w:rsidR="001A1A4A" w:rsidRPr="00553073" w:rsidRDefault="001A1A4A" w:rsidP="00487F16">
    <w:pPr>
      <w:pStyle w:val="Header"/>
      <w:tabs>
        <w:tab w:val="left" w:pos="9180"/>
      </w:tabs>
      <w:rPr>
        <w:b/>
        <w:bCs/>
        <w:sz w:val="2"/>
        <w:szCs w:val="2"/>
      </w:rPr>
    </w:pPr>
  </w:p>
  <w:p w14:paraId="3EEF1916" w14:textId="68E64FB5" w:rsidR="00487F16" w:rsidRPr="00487F16" w:rsidRDefault="00487F16" w:rsidP="00487F16">
    <w:pPr>
      <w:pStyle w:val="Header"/>
      <w:tabs>
        <w:tab w:val="left" w:pos="9180"/>
      </w:tabs>
      <w:rPr>
        <w:b/>
        <w:bCs/>
      </w:rPr>
    </w:pPr>
    <w:r w:rsidRPr="00487F16">
      <w:rPr>
        <w:b/>
        <w:bCs/>
      </w:rPr>
      <w:t>Prepared by Kathleen Menzies – Consortium Manager</w:t>
    </w:r>
  </w:p>
  <w:p w14:paraId="4BCD9565" w14:textId="7364C68F" w:rsidR="00487F16" w:rsidRPr="00487F16" w:rsidRDefault="003C2A6E" w:rsidP="00487F16">
    <w:pPr>
      <w:pStyle w:val="Header"/>
      <w:pBdr>
        <w:bottom w:val="single" w:sz="4" w:space="1" w:color="auto"/>
      </w:pBdr>
      <w:tabs>
        <w:tab w:val="left" w:pos="9180"/>
      </w:tabs>
      <w:rPr>
        <w:b/>
        <w:bCs/>
      </w:rPr>
    </w:pPr>
    <w:sdt>
      <w:sdtPr>
        <w:rPr>
          <w:sz w:val="18"/>
          <w:szCs w:val="18"/>
        </w:rPr>
        <w:id w:val="943197112"/>
        <w:docPartObj>
          <w:docPartGallery w:val="Watermarks"/>
          <w:docPartUnique/>
        </w:docPartObj>
      </w:sdtPr>
      <w:sdtEndPr/>
      <w:sdtContent>
        <w:r>
          <w:rPr>
            <w:noProof/>
            <w:sz w:val="18"/>
            <w:szCs w:val="18"/>
          </w:rPr>
          <w:pict w14:anchorId="26B4E5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63C26">
      <w:rPr>
        <w:b/>
        <w:bCs/>
      </w:rPr>
      <w:t>July</w:t>
    </w:r>
    <w:r w:rsidR="00487F16" w:rsidRPr="00487F16">
      <w:rPr>
        <w:b/>
        <w:bCs/>
      </w:rPr>
      <w:t xml:space="preserve"> 202</w:t>
    </w:r>
    <w:r w:rsidR="00D84734">
      <w:rPr>
        <w:b/>
        <w:bC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B0CF0"/>
    <w:multiLevelType w:val="hybridMultilevel"/>
    <w:tmpl w:val="27B6D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8A3382"/>
    <w:multiLevelType w:val="hybridMultilevel"/>
    <w:tmpl w:val="7722D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2274FB"/>
    <w:multiLevelType w:val="multilevel"/>
    <w:tmpl w:val="325A2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BD6BCE"/>
    <w:multiLevelType w:val="hybridMultilevel"/>
    <w:tmpl w:val="35FA38E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 w15:restartNumberingAfterBreak="0">
    <w:nsid w:val="27BC0152"/>
    <w:multiLevelType w:val="hybridMultilevel"/>
    <w:tmpl w:val="C2B89F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8E03483"/>
    <w:multiLevelType w:val="hybridMultilevel"/>
    <w:tmpl w:val="60B43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BD2808"/>
    <w:multiLevelType w:val="hybridMultilevel"/>
    <w:tmpl w:val="F3DE3F66"/>
    <w:lvl w:ilvl="0" w:tplc="44606DAC">
      <w:numFmt w:val="bullet"/>
      <w:lvlText w:val="-"/>
      <w:lvlJc w:val="left"/>
      <w:pPr>
        <w:ind w:left="1800" w:hanging="360"/>
      </w:pPr>
      <w:rPr>
        <w:rFonts w:ascii="Arial" w:eastAsia="MS Gothic" w:hAnsi="Arial" w:cs="Aria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7" w15:restartNumberingAfterBreak="0">
    <w:nsid w:val="40203A94"/>
    <w:multiLevelType w:val="hybridMultilevel"/>
    <w:tmpl w:val="E3748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DF741A"/>
    <w:multiLevelType w:val="hybridMultilevel"/>
    <w:tmpl w:val="DE7249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6AC79F0"/>
    <w:multiLevelType w:val="hybridMultilevel"/>
    <w:tmpl w:val="9B221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7643B6"/>
    <w:multiLevelType w:val="hybridMultilevel"/>
    <w:tmpl w:val="DEE227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92434B8"/>
    <w:multiLevelType w:val="hybridMultilevel"/>
    <w:tmpl w:val="8FBA3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886F29"/>
    <w:multiLevelType w:val="hybridMultilevel"/>
    <w:tmpl w:val="8422AB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0636E1"/>
    <w:multiLevelType w:val="hybridMultilevel"/>
    <w:tmpl w:val="1A42D3F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4" w15:restartNumberingAfterBreak="0">
    <w:nsid w:val="5BA809E5"/>
    <w:multiLevelType w:val="hybridMultilevel"/>
    <w:tmpl w:val="B2063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4"/>
  </w:num>
  <w:num w:numId="4">
    <w:abstractNumId w:val="12"/>
  </w:num>
  <w:num w:numId="5">
    <w:abstractNumId w:val="5"/>
  </w:num>
  <w:num w:numId="6">
    <w:abstractNumId w:val="7"/>
  </w:num>
  <w:num w:numId="7">
    <w:abstractNumId w:val="1"/>
  </w:num>
  <w:num w:numId="8">
    <w:abstractNumId w:val="11"/>
  </w:num>
  <w:num w:numId="9">
    <w:abstractNumId w:val="13"/>
  </w:num>
  <w:num w:numId="10">
    <w:abstractNumId w:val="4"/>
  </w:num>
  <w:num w:numId="11">
    <w:abstractNumId w:val="3"/>
  </w:num>
  <w:num w:numId="12">
    <w:abstractNumId w:val="10"/>
  </w:num>
  <w:num w:numId="13">
    <w:abstractNumId w:val="8"/>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E07"/>
    <w:rsid w:val="000B588D"/>
    <w:rsid w:val="00137018"/>
    <w:rsid w:val="00146293"/>
    <w:rsid w:val="00166B9F"/>
    <w:rsid w:val="001A1A4A"/>
    <w:rsid w:val="001A1DB7"/>
    <w:rsid w:val="001A6B7A"/>
    <w:rsid w:val="001C32CE"/>
    <w:rsid w:val="00223524"/>
    <w:rsid w:val="00236928"/>
    <w:rsid w:val="0024605B"/>
    <w:rsid w:val="002462B6"/>
    <w:rsid w:val="00271CBE"/>
    <w:rsid w:val="003671E8"/>
    <w:rsid w:val="00374395"/>
    <w:rsid w:val="00384540"/>
    <w:rsid w:val="003900B9"/>
    <w:rsid w:val="00392252"/>
    <w:rsid w:val="003A6136"/>
    <w:rsid w:val="003A7FB0"/>
    <w:rsid w:val="003B466D"/>
    <w:rsid w:val="003C2A6E"/>
    <w:rsid w:val="00485BFC"/>
    <w:rsid w:val="00487F16"/>
    <w:rsid w:val="00494A02"/>
    <w:rsid w:val="004D6EA5"/>
    <w:rsid w:val="004F2816"/>
    <w:rsid w:val="004F6971"/>
    <w:rsid w:val="00552BDA"/>
    <w:rsid w:val="00553073"/>
    <w:rsid w:val="0056352E"/>
    <w:rsid w:val="00592B2F"/>
    <w:rsid w:val="0059442C"/>
    <w:rsid w:val="005D1204"/>
    <w:rsid w:val="005F39BE"/>
    <w:rsid w:val="00605BC0"/>
    <w:rsid w:val="00607E07"/>
    <w:rsid w:val="006101C0"/>
    <w:rsid w:val="00616A64"/>
    <w:rsid w:val="00620F14"/>
    <w:rsid w:val="0066570D"/>
    <w:rsid w:val="006701FF"/>
    <w:rsid w:val="006D2BE9"/>
    <w:rsid w:val="006D3F30"/>
    <w:rsid w:val="006F4970"/>
    <w:rsid w:val="0071723B"/>
    <w:rsid w:val="00757295"/>
    <w:rsid w:val="00763C26"/>
    <w:rsid w:val="007852DF"/>
    <w:rsid w:val="007A408D"/>
    <w:rsid w:val="007C35A3"/>
    <w:rsid w:val="007E1782"/>
    <w:rsid w:val="007E2349"/>
    <w:rsid w:val="007F4147"/>
    <w:rsid w:val="00807F6E"/>
    <w:rsid w:val="008B0F2C"/>
    <w:rsid w:val="008B4C85"/>
    <w:rsid w:val="008C3370"/>
    <w:rsid w:val="009105EF"/>
    <w:rsid w:val="0091271A"/>
    <w:rsid w:val="00922216"/>
    <w:rsid w:val="00986F02"/>
    <w:rsid w:val="009A18EB"/>
    <w:rsid w:val="009C499C"/>
    <w:rsid w:val="00A34A54"/>
    <w:rsid w:val="00A704AB"/>
    <w:rsid w:val="00A95CD6"/>
    <w:rsid w:val="00B441CC"/>
    <w:rsid w:val="00B917E4"/>
    <w:rsid w:val="00C514B7"/>
    <w:rsid w:val="00CA241D"/>
    <w:rsid w:val="00CB5914"/>
    <w:rsid w:val="00D05EFC"/>
    <w:rsid w:val="00D84734"/>
    <w:rsid w:val="00DB32E3"/>
    <w:rsid w:val="00DC34FF"/>
    <w:rsid w:val="00DC6995"/>
    <w:rsid w:val="00DF4934"/>
    <w:rsid w:val="00DF5281"/>
    <w:rsid w:val="00DF6608"/>
    <w:rsid w:val="00E00F4D"/>
    <w:rsid w:val="00E93DB4"/>
    <w:rsid w:val="00EA055A"/>
    <w:rsid w:val="00EF57B5"/>
    <w:rsid w:val="00F12306"/>
    <w:rsid w:val="00F734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3715239"/>
  <w15:chartTrackingRefBased/>
  <w15:docId w15:val="{E6D32596-538B-4000-9E29-FBF935B7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B59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7852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7852D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252"/>
    <w:pPr>
      <w:ind w:left="720"/>
      <w:contextualSpacing/>
    </w:pPr>
  </w:style>
  <w:style w:type="character" w:styleId="Strong">
    <w:name w:val="Strong"/>
    <w:basedOn w:val="DefaultParagraphFont"/>
    <w:uiPriority w:val="22"/>
    <w:qFormat/>
    <w:rsid w:val="00CB5914"/>
    <w:rPr>
      <w:b/>
      <w:bCs/>
    </w:rPr>
  </w:style>
  <w:style w:type="character" w:customStyle="1" w:styleId="Heading1Char">
    <w:name w:val="Heading 1 Char"/>
    <w:basedOn w:val="DefaultParagraphFont"/>
    <w:link w:val="Heading1"/>
    <w:uiPriority w:val="9"/>
    <w:rsid w:val="00CB5914"/>
    <w:rPr>
      <w:rFonts w:ascii="Times New Roman" w:eastAsia="Times New Roman" w:hAnsi="Times New Roman" w:cs="Times New Roman"/>
      <w:b/>
      <w:bCs/>
      <w:kern w:val="36"/>
      <w:sz w:val="48"/>
      <w:szCs w:val="48"/>
      <w:lang w:eastAsia="en-AU"/>
    </w:rPr>
  </w:style>
  <w:style w:type="paragraph" w:styleId="Header">
    <w:name w:val="header"/>
    <w:basedOn w:val="Normal"/>
    <w:link w:val="HeaderChar"/>
    <w:unhideWhenUsed/>
    <w:rsid w:val="00487F16"/>
    <w:pPr>
      <w:tabs>
        <w:tab w:val="center" w:pos="4513"/>
        <w:tab w:val="right" w:pos="9026"/>
      </w:tabs>
      <w:spacing w:after="0" w:line="240" w:lineRule="auto"/>
    </w:pPr>
  </w:style>
  <w:style w:type="character" w:customStyle="1" w:styleId="HeaderChar">
    <w:name w:val="Header Char"/>
    <w:basedOn w:val="DefaultParagraphFont"/>
    <w:link w:val="Header"/>
    <w:rsid w:val="00487F16"/>
  </w:style>
  <w:style w:type="paragraph" w:styleId="Footer">
    <w:name w:val="footer"/>
    <w:basedOn w:val="Normal"/>
    <w:link w:val="FooterChar"/>
    <w:uiPriority w:val="99"/>
    <w:unhideWhenUsed/>
    <w:rsid w:val="00487F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F16"/>
  </w:style>
  <w:style w:type="character" w:customStyle="1" w:styleId="Heading2Char">
    <w:name w:val="Heading 2 Char"/>
    <w:basedOn w:val="DefaultParagraphFont"/>
    <w:link w:val="Heading2"/>
    <w:uiPriority w:val="9"/>
    <w:semiHidden/>
    <w:rsid w:val="007852DF"/>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7852DF"/>
    <w:rPr>
      <w:rFonts w:asciiTheme="majorHAnsi" w:eastAsiaTheme="majorEastAsia" w:hAnsiTheme="majorHAnsi" w:cstheme="majorBidi"/>
      <w:color w:val="2F5496" w:themeColor="accent1" w:themeShade="BF"/>
    </w:rPr>
  </w:style>
  <w:style w:type="table" w:styleId="TableGrid">
    <w:name w:val="Table Grid"/>
    <w:basedOn w:val="TableNormal"/>
    <w:uiPriority w:val="39"/>
    <w:rsid w:val="00616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00F4D"/>
    <w:rPr>
      <w:sz w:val="16"/>
      <w:szCs w:val="16"/>
    </w:rPr>
  </w:style>
  <w:style w:type="paragraph" w:styleId="CommentText">
    <w:name w:val="annotation text"/>
    <w:basedOn w:val="Normal"/>
    <w:link w:val="CommentTextChar"/>
    <w:uiPriority w:val="99"/>
    <w:semiHidden/>
    <w:unhideWhenUsed/>
    <w:rsid w:val="00E00F4D"/>
    <w:pPr>
      <w:spacing w:line="240" w:lineRule="auto"/>
    </w:pPr>
    <w:rPr>
      <w:sz w:val="20"/>
      <w:szCs w:val="20"/>
    </w:rPr>
  </w:style>
  <w:style w:type="character" w:customStyle="1" w:styleId="CommentTextChar">
    <w:name w:val="Comment Text Char"/>
    <w:basedOn w:val="DefaultParagraphFont"/>
    <w:link w:val="CommentText"/>
    <w:uiPriority w:val="99"/>
    <w:semiHidden/>
    <w:rsid w:val="00E00F4D"/>
    <w:rPr>
      <w:sz w:val="20"/>
      <w:szCs w:val="20"/>
    </w:rPr>
  </w:style>
  <w:style w:type="paragraph" w:styleId="CommentSubject">
    <w:name w:val="annotation subject"/>
    <w:basedOn w:val="CommentText"/>
    <w:next w:val="CommentText"/>
    <w:link w:val="CommentSubjectChar"/>
    <w:uiPriority w:val="99"/>
    <w:semiHidden/>
    <w:unhideWhenUsed/>
    <w:rsid w:val="00E00F4D"/>
    <w:rPr>
      <w:b/>
      <w:bCs/>
    </w:rPr>
  </w:style>
  <w:style w:type="character" w:customStyle="1" w:styleId="CommentSubjectChar">
    <w:name w:val="Comment Subject Char"/>
    <w:basedOn w:val="CommentTextChar"/>
    <w:link w:val="CommentSubject"/>
    <w:uiPriority w:val="99"/>
    <w:semiHidden/>
    <w:rsid w:val="00E00F4D"/>
    <w:rPr>
      <w:b/>
      <w:bCs/>
      <w:sz w:val="20"/>
      <w:szCs w:val="20"/>
    </w:rPr>
  </w:style>
  <w:style w:type="paragraph" w:styleId="BalloonText">
    <w:name w:val="Balloon Text"/>
    <w:basedOn w:val="Normal"/>
    <w:link w:val="BalloonTextChar"/>
    <w:uiPriority w:val="99"/>
    <w:semiHidden/>
    <w:unhideWhenUsed/>
    <w:rsid w:val="00E00F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F4D"/>
    <w:rPr>
      <w:rFonts w:ascii="Segoe UI" w:hAnsi="Segoe UI" w:cs="Segoe UI"/>
      <w:sz w:val="18"/>
      <w:szCs w:val="18"/>
    </w:rPr>
  </w:style>
  <w:style w:type="paragraph" w:customStyle="1" w:styleId="DHHSbody">
    <w:name w:val="DHHS body"/>
    <w:qFormat/>
    <w:rsid w:val="003A7FB0"/>
    <w:pPr>
      <w:spacing w:after="120" w:line="270" w:lineRule="atLeast"/>
    </w:pPr>
    <w:rPr>
      <w:rFonts w:ascii="Arial" w:eastAsia="Times" w:hAnsi="Arial" w:cs="Times New Roman"/>
      <w:sz w:val="20"/>
      <w:szCs w:val="20"/>
    </w:rPr>
  </w:style>
  <w:style w:type="character" w:customStyle="1" w:styleId="InstructionText">
    <w:name w:val="Instruction Text"/>
    <w:qFormat/>
    <w:rsid w:val="00137018"/>
    <w:rPr>
      <w:i/>
      <w:color w:val="0070C0"/>
    </w:rPr>
  </w:style>
  <w:style w:type="character" w:styleId="Hyperlink">
    <w:name w:val="Hyperlink"/>
    <w:basedOn w:val="DefaultParagraphFont"/>
    <w:uiPriority w:val="99"/>
    <w:unhideWhenUsed/>
    <w:rsid w:val="0024605B"/>
    <w:rPr>
      <w:color w:val="0563C1" w:themeColor="hyperlink"/>
      <w:u w:val="single"/>
    </w:rPr>
  </w:style>
  <w:style w:type="character" w:styleId="UnresolvedMention">
    <w:name w:val="Unresolved Mention"/>
    <w:basedOn w:val="DefaultParagraphFont"/>
    <w:uiPriority w:val="99"/>
    <w:semiHidden/>
    <w:unhideWhenUsed/>
    <w:rsid w:val="00246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621716">
      <w:bodyDiv w:val="1"/>
      <w:marLeft w:val="0"/>
      <w:marRight w:val="0"/>
      <w:marTop w:val="0"/>
      <w:marBottom w:val="0"/>
      <w:divBdr>
        <w:top w:val="none" w:sz="0" w:space="0" w:color="auto"/>
        <w:left w:val="none" w:sz="0" w:space="0" w:color="auto"/>
        <w:bottom w:val="none" w:sz="0" w:space="0" w:color="auto"/>
        <w:right w:val="none" w:sz="0" w:space="0" w:color="auto"/>
      </w:divBdr>
    </w:div>
    <w:div w:id="432242378">
      <w:bodyDiv w:val="1"/>
      <w:marLeft w:val="0"/>
      <w:marRight w:val="0"/>
      <w:marTop w:val="0"/>
      <w:marBottom w:val="0"/>
      <w:divBdr>
        <w:top w:val="none" w:sz="0" w:space="0" w:color="auto"/>
        <w:left w:val="none" w:sz="0" w:space="0" w:color="auto"/>
        <w:bottom w:val="none" w:sz="0" w:space="0" w:color="auto"/>
        <w:right w:val="none" w:sz="0" w:space="0" w:color="auto"/>
      </w:divBdr>
    </w:div>
    <w:div w:id="661860545">
      <w:bodyDiv w:val="1"/>
      <w:marLeft w:val="0"/>
      <w:marRight w:val="0"/>
      <w:marTop w:val="0"/>
      <w:marBottom w:val="0"/>
      <w:divBdr>
        <w:top w:val="none" w:sz="0" w:space="0" w:color="auto"/>
        <w:left w:val="none" w:sz="0" w:space="0" w:color="auto"/>
        <w:bottom w:val="none" w:sz="0" w:space="0" w:color="auto"/>
        <w:right w:val="none" w:sz="0" w:space="0" w:color="auto"/>
      </w:divBdr>
    </w:div>
    <w:div w:id="775906652">
      <w:bodyDiv w:val="1"/>
      <w:marLeft w:val="0"/>
      <w:marRight w:val="0"/>
      <w:marTop w:val="0"/>
      <w:marBottom w:val="0"/>
      <w:divBdr>
        <w:top w:val="none" w:sz="0" w:space="0" w:color="auto"/>
        <w:left w:val="none" w:sz="0" w:space="0" w:color="auto"/>
        <w:bottom w:val="none" w:sz="0" w:space="0" w:color="auto"/>
        <w:right w:val="none" w:sz="0" w:space="0" w:color="auto"/>
      </w:divBdr>
    </w:div>
    <w:div w:id="1530072378">
      <w:bodyDiv w:val="1"/>
      <w:marLeft w:val="0"/>
      <w:marRight w:val="0"/>
      <w:marTop w:val="0"/>
      <w:marBottom w:val="0"/>
      <w:divBdr>
        <w:top w:val="none" w:sz="0" w:space="0" w:color="auto"/>
        <w:left w:val="none" w:sz="0" w:space="0" w:color="auto"/>
        <w:bottom w:val="none" w:sz="0" w:space="0" w:color="auto"/>
        <w:right w:val="none" w:sz="0" w:space="0" w:color="auto"/>
      </w:divBdr>
    </w:div>
    <w:div w:id="196503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eh.org.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package" Target="embeddings/Microsoft_Word_Document.docx"/></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2037</TotalTime>
  <Pages>3</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Menzies</dc:creator>
  <cp:keywords/>
  <dc:description/>
  <cp:lastModifiedBy>Kathleen Menzies</cp:lastModifiedBy>
  <cp:revision>16</cp:revision>
  <dcterms:created xsi:type="dcterms:W3CDTF">2021-06-08T21:17:00Z</dcterms:created>
  <dcterms:modified xsi:type="dcterms:W3CDTF">2021-06-20T21:09:00Z</dcterms:modified>
</cp:coreProperties>
</file>